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竹溪县中医医院资产管理服务技术要求</w:t>
      </w:r>
    </w:p>
    <w:p>
      <w:pPr>
        <w:jc w:val="left"/>
        <w:rPr>
          <w:sz w:val="30"/>
          <w:szCs w:val="30"/>
        </w:rPr>
      </w:pPr>
      <w:r>
        <w:rPr>
          <w:sz w:val="30"/>
          <w:szCs w:val="30"/>
        </w:rPr>
        <w:br w:type="textWrapping"/>
      </w:r>
      <w:r>
        <w:rPr>
          <w:sz w:val="30"/>
          <w:szCs w:val="30"/>
        </w:rPr>
        <w:t>1、清查核实资产，确保已按照有关制度建立健全固定资产明细表和固定资产卡片，确保每项固定资产及无形资产“账、卡、物”相符，保证国资管理系统和医院财务</w:t>
      </w:r>
      <w:bookmarkStart w:id="0" w:name="_GoBack"/>
      <w:bookmarkEnd w:id="0"/>
      <w:r>
        <w:rPr>
          <w:sz w:val="30"/>
          <w:szCs w:val="30"/>
        </w:rPr>
        <w:t>账面金额完全一致。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>2、对资产清查工作中发现的各项盘盈、盘亏、损失等问题提出处理、改进建议。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>3、协助处理资产整体划拨过程中的资产调拨，协助医院与国资局把遗留问题整改到位。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>4、清理不具备使用价值、长期积压的待处置资产，并整理出《待报废资产明细表》，为进一步资产报废处置提供依据。协助处置待报废资产，有效盘活并高效使用固定资产。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>5、并根据实际需要出具官方认可的资产评估报告。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4ZWJiNDE0MTIxMjI1NzgzMGVmMzZiYjQwMzYwNTEifQ=="/>
  </w:docVars>
  <w:rsids>
    <w:rsidRoot w:val="00DA5002"/>
    <w:rsid w:val="00B4462C"/>
    <w:rsid w:val="00DA5002"/>
    <w:rsid w:val="54B1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239</Characters>
  <Lines>1</Lines>
  <Paragraphs>1</Paragraphs>
  <TotalTime>2</TotalTime>
  <ScaleCrop>false</ScaleCrop>
  <LinksUpToDate>false</LinksUpToDate>
  <CharactersWithSpaces>279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2024-01-13T02:02:00Z</dcterms:created>
  <dc:creator>Microsoft</dc:creator>
  <cp:lastModifiedBy>柯锐</cp:lastModifiedBy>
  <cp:lastPrinted>2024-01-15T00:39:58Z</cp:lastPrinted>
  <dcterms:modified xsi:type="dcterms:W3CDTF">2024-01-15T00:40:07Z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CDDAD6C4DD1C4229A3D45C1B67D2993B_12</vt:lpwstr>
  </property>
</Properties>
</file>