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电动骨动</w:t>
      </w:r>
      <w:bookmarkStart w:id="0" w:name="_GoBack"/>
      <w:bookmarkEnd w:id="0"/>
      <w:r>
        <w:rPr>
          <w:rFonts w:hint="eastAsia" w:ascii="楷体_GB2312" w:hAnsi="宋体" w:eastAsia="楷体_GB2312"/>
          <w:b/>
          <w:sz w:val="36"/>
          <w:szCs w:val="36"/>
        </w:rPr>
        <w:t>力系统技术参数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00"/>
        <w:gridCol w:w="70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序号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技术指标名称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技术指标要求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主机部分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电源控制器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ind w:firstLine="315" w:firstLineChars="150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szCs w:val="21"/>
              </w:rPr>
              <w:t>选用第三代智能控制系统，柔性启动，匀速平稳，刹车即停。运行功率恒定，不会因为阻力增大而衰减，LED数字图形显示，实时记录主机工作状态，微电脑电路程序控制，工作状态双模式选择，有强力高速模式和高速平稳模式，可根据用途自由切换。动力输出选择，正向反向选择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szCs w:val="21"/>
              </w:rPr>
            </w:pPr>
            <w:r>
              <w:rPr>
                <w:rFonts w:hint="eastAsia" w:ascii="宋体" w:hAnsi="宋体" w:cs="方正北魏楷书简体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★2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动力马达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全封闭稀土马达，防止交叉感染。启动扭矩强＞1600mN.m，运行转速高＞60000rpm，长时间运行不发热，温升＜15°，在负载情况下，转速衰减＜5%，不丢转、噪音＜65dB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微型马达流线型设计，手感舒适，可实现笔式操作，一个马达完成钻、铣、磨、锯多个功能，直径＜24mm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马达直接驱动工作头，无功率丢失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3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脚踏开关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控制方式：无极调速、转速可按要求设定。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停机有刹车即停功能，无惯性。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4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电源电压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220V±10%  50Hz±2%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5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功率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200W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6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供电方式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交流电供电，柔性线缆可任意弯曲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安装方式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tabs>
                <w:tab w:val="left" w:pos="540"/>
              </w:tabs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1.马达与工作手柄安装为滚簧四维锁紧结构，方便快捷，连接可靠。</w:t>
            </w:r>
          </w:p>
          <w:p>
            <w:pPr>
              <w:tabs>
                <w:tab w:val="left" w:pos="540"/>
              </w:tabs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2.磨钻手柄与刀头安装为滚簧推拉结构，方便快捷，安全可靠。（非抱紧式，不会因为阻力增大而刀具脱落）</w:t>
            </w:r>
          </w:p>
          <w:p>
            <w:pPr>
              <w:tabs>
                <w:tab w:val="left" w:pos="540"/>
              </w:tabs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3.刀头具有快装接口（非抱紧式），方便安装。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left" w:pos="540"/>
              </w:tabs>
              <w:spacing w:line="360" w:lineRule="exact"/>
              <w:jc w:val="center"/>
              <w:rPr>
                <w:rFonts w:hint="eastAsia" w:ascii="宋体" w:hAnsi="宋体" w:cs="方正北魏楷书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体积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体积小，重量轻，扭矩大，切削速度快，既可用于磨钻又可用于开颅钻、开颅铣。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方正北魏楷书简体"/>
                <w:szCs w:val="21"/>
              </w:rPr>
              <w:t>9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消毒方式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工作手柄、马达及连线可耐132度高温高压消毒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10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最高转速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≥60000rpm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11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速度调节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无极调速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12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最高扭矩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≥1600mN.m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工作头部分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13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增力器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扭矩≥1600 mN.m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★14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开颅钻头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直径：φ11mm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转速：≥1500rpm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切割量≥800mm³/s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三齿设计：打透颅骨后，保留小骨片，在硬膜和钻头之间形成保护。安全自停触发结构，在钻透颅骨瞬间使钻头离合器与传动杆分离。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★15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开颅钻头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直径：φ9mm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转速：≥1500rpm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切割量≥800mm³/s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三齿设计：打透颅骨后，保留小骨片，在硬膜和钻头之间形成保护。安全自停触发结构，在钻透颅骨瞬间使钻头离合器与传动杆分离。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★16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开颅铣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直径：直径：φ2.35mm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转速：≥60000rpm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切割量≥5mm³/s</w:t>
            </w:r>
          </w:p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螺旋状铣刀，切削速度快，小角度转弯，不易折断，避免骨屑滞留槽内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★17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弯磨钻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tabs>
                <w:tab w:val="left" w:pos="540"/>
              </w:tabs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长度：L142mm，转速≥60000 rpm，切割量≥5mm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/s，20度弯曲，刃具安装为推拉接口，快捷可靠，（</w:t>
            </w:r>
            <w:r>
              <w:rPr>
                <w:rFonts w:hint="eastAsia" w:ascii="宋体" w:hAnsi="宋体" w:cs="方正北魏楷书简体"/>
                <w:szCs w:val="21"/>
              </w:rPr>
              <w:t>非抱紧式，不会因为阻力增大而刀具脱落）加长超细手柄可用于经蝶垂体瘤等深部手术应用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left" w:pos="540"/>
              </w:tabs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18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切削头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直径φ1mm,φ2mm,φ3mm,φ4mm,φ5mm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19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金钢砂磨头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ind w:left="2661" w:leftChars="267" w:hanging="2100" w:hangingChars="100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直径φ1mm,φ2mm,φ3mm,φ4mm,φ5mm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2" w:type="dxa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 xml:space="preserve">  20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方正北魏楷书简体"/>
                <w:bCs/>
                <w:szCs w:val="21"/>
              </w:rPr>
            </w:pPr>
            <w:r>
              <w:rPr>
                <w:rFonts w:hint="eastAsia" w:ascii="宋体" w:hAnsi="宋体" w:cs="方正北魏楷书简体"/>
                <w:bCs/>
                <w:szCs w:val="21"/>
              </w:rPr>
              <w:t>铣刀头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0283B"/>
    <w:multiLevelType w:val="singleLevel"/>
    <w:tmpl w:val="5830283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30286F"/>
    <w:multiLevelType w:val="singleLevel"/>
    <w:tmpl w:val="583028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JiNDE0MTIxMjI1NzgzMGVmMzZiYjQwMzYwNTEifQ=="/>
  </w:docVars>
  <w:rsids>
    <w:rsidRoot w:val="00000000"/>
    <w:rsid w:val="203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2023-12-07T02:04:26Z</dcterms:created>
  <dc:creator>Administrator</dc:creator>
  <cp:lastModifiedBy>柯锐</cp:lastModifiedBy>
  <dcterms:modified xsi:type="dcterms:W3CDTF">2023-12-07T02:04:38Z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88939DAD0DE64F09BA6A19A99A070014_12</vt:lpwstr>
  </property>
</Properties>
</file>