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72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竹溪县中医医院UPS电池组技术要求</w:t>
      </w:r>
    </w:p>
    <w:p>
      <w:pPr>
        <w:pStyle w:val="4"/>
        <w:ind w:left="72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一、服务要求: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1、乙方必须充分了解院方运维特性，服从院方的调度和管理，无论UPS设备、电池组任何原因，紧急情况下，能保证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/>
        </w:rPr>
        <w:t>短时间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到场抢修。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2、乙方必须注重工程质量和安全管理，对固定工人购买意外险，签订自行承担安全责任的承诺书，不得偷工减料，售后服务能高于国家规定的标准时限。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3、乙方必须充分了解医院电气线路、消防管路及电气系统、暖通系统、弱电系统等复杂的系统工程特性，能做到维修事项不影响医院各系统正常运行，不伤害各类已建成隐蔽工程管线或预埋件，不损伤业主房屋和设施的成品安全，不影响非维修区域正常营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4、付款方式：货款分三年付清，验收合格后付结算价的50%，剩余货款验收满一年后付结算价的30%，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叁年质保期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到后付清尾款。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二、电池组参数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（一）技术参数：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1、12V100AH单体电池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2、单体电池额定电压：12V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3、单体电池浮充电电压： 13.5-13.8V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4、单体电池均衡充电电压： 14.1-14.4V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5、单体电池放电终止电压：10.8V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（二）主要性能要求：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1、当环境温度在-10～+45℃条件下时，蓄电池性能指标应满足正常使用要求。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2、蓄电池在环境温度20～25℃时的浮充运行设计寿命应不低于10年，并提供相关证明材料。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 xml:space="preserve">3、蓄电池组按规定的试验方法，10h率容量应在第一次充放电循环时不低于0.95C10，三次循环应达到C10。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4、蓄电池采用ABS阻燃材料，符合UL94V-0标准。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5、蓄电池必须采用全密封防泄漏结构，外壳无异常变形、裂纹及污迹，上盖及端子无损伤，正常工作时无酸雾溢出。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6、蓄电池极性正确，正负极性及端子应有明显标志。极板厚度应与使用寿命相适应。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E4ZWJiNDE0MTIxMjI1NzgzMGVmMzZiYjQwMzYwNTEifQ=="/>
  </w:docVars>
  <w:rsids>
    <w:rsidRoot w:val="00E7676E"/>
    <w:rsid w:val="003155C6"/>
    <w:rsid w:val="004D0F62"/>
    <w:rsid w:val="004D51E1"/>
    <w:rsid w:val="006E0571"/>
    <w:rsid w:val="00AC363B"/>
    <w:rsid w:val="00DF094C"/>
    <w:rsid w:val="00E7676E"/>
    <w:rsid w:val="00F45772"/>
    <w:rsid w:val="04D032F1"/>
    <w:rsid w:val="09E12241"/>
    <w:rsid w:val="13217C03"/>
    <w:rsid w:val="167C0DF1"/>
    <w:rsid w:val="4F902AB6"/>
    <w:rsid w:val="548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文档正文"/>
    <w:basedOn w:val="1"/>
    <w:autoRedefine/>
    <w:qFormat/>
    <w:uiPriority w:val="0"/>
    <w:pPr>
      <w:adjustRightInd w:val="0"/>
      <w:spacing w:line="312" w:lineRule="atLeast"/>
      <w:ind w:firstLine="567"/>
    </w:pPr>
    <w:rPr>
      <w:rFonts w:ascii="Wingdings" w:eastAsia="Wingdings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645</Words>
  <Characters>710</Characters>
  <Lines>13</Lines>
  <Paragraphs>3</Paragraphs>
  <TotalTime>93</TotalTime>
  <ScaleCrop>false</ScaleCrop>
  <LinksUpToDate>false</LinksUpToDate>
  <CharactersWithSpaces>717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2024-01-10T02:46:00Z</dcterms:created>
  <dc:creator>Microsoft</dc:creator>
  <cp:lastModifiedBy>柯锐</cp:lastModifiedBy>
  <dcterms:modified xsi:type="dcterms:W3CDTF">2024-05-24T03:57:38Z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8E127986FD69467D9C2EE76A8116C134_13</vt:lpwstr>
  </property>
</Properties>
</file>