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utlineLvl w:val="0"/>
        <w:rPr>
          <w:rFonts w:hint="eastAsia" w:ascii="宋体" w:hAnsi="宋体" w:eastAsia="宋体" w:cs="宋体"/>
          <w:b/>
          <w:kern w:val="0"/>
          <w:sz w:val="32"/>
          <w:szCs w:val="32"/>
          <w:u w:color="000000"/>
        </w:rPr>
      </w:pPr>
      <w:r>
        <w:rPr>
          <w:rFonts w:hint="eastAsia" w:ascii="宋体" w:hAnsi="宋体" w:eastAsia="宋体" w:cs="宋体"/>
          <w:b/>
          <w:kern w:val="0"/>
          <w:sz w:val="32"/>
          <w:szCs w:val="32"/>
          <w:u w:color="000000"/>
        </w:rPr>
        <w:t>桌面云参数</w:t>
      </w:r>
    </w:p>
    <w:p>
      <w:pPr>
        <w:pStyle w:val="3"/>
        <w:rPr>
          <w:rFonts w:hint="eastAsia" w:eastAsia="宋体"/>
          <w:lang w:val="en-US" w:eastAsia="zh-CN"/>
        </w:rPr>
      </w:pPr>
      <w:r>
        <w:rPr>
          <w:rFonts w:hint="eastAsia" w:eastAsia="宋体"/>
          <w:lang w:val="en-US" w:eastAsia="zh-CN"/>
        </w:rPr>
        <w:t>设备详细清单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25"/>
        <w:gridCol w:w="265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9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65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数量</w:t>
            </w:r>
          </w:p>
        </w:tc>
        <w:tc>
          <w:tcPr>
            <w:tcW w:w="2131"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9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桌面云终端</w:t>
            </w:r>
          </w:p>
        </w:tc>
        <w:tc>
          <w:tcPr>
            <w:tcW w:w="265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50台</w:t>
            </w:r>
          </w:p>
        </w:tc>
        <w:tc>
          <w:tcPr>
            <w:tcW w:w="2131"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9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桌面云应用控制软件</w:t>
            </w:r>
          </w:p>
        </w:tc>
        <w:tc>
          <w:tcPr>
            <w:tcW w:w="2650"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50套</w:t>
            </w:r>
          </w:p>
        </w:tc>
        <w:tc>
          <w:tcPr>
            <w:tcW w:w="2131" w:type="dxa"/>
            <w:vAlign w:val="center"/>
          </w:tcPr>
          <w:p>
            <w:pPr>
              <w:jc w:val="center"/>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925" w:type="dxa"/>
            <w:vAlign w:val="center"/>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桌面云服务器</w:t>
            </w:r>
          </w:p>
        </w:tc>
        <w:tc>
          <w:tcPr>
            <w:tcW w:w="2650"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≥3台</w:t>
            </w:r>
          </w:p>
        </w:tc>
        <w:tc>
          <w:tcPr>
            <w:tcW w:w="2131"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1"/>
                <w:szCs w:val="21"/>
                <w:vertAlign w:val="baseline"/>
                <w:lang w:val="en-US" w:eastAsia="zh-CN"/>
              </w:rPr>
              <w:t>满足120台终端运行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925" w:type="dxa"/>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21.5寸LED显示器</w:t>
            </w:r>
          </w:p>
        </w:tc>
        <w:tc>
          <w:tcPr>
            <w:tcW w:w="2650"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50台</w:t>
            </w:r>
          </w:p>
        </w:tc>
        <w:tc>
          <w:tcPr>
            <w:tcW w:w="2131" w:type="dxa"/>
            <w:vAlign w:val="center"/>
          </w:tcPr>
          <w:p>
            <w:p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925" w:type="dxa"/>
            <w:vAlign w:val="center"/>
          </w:tcPr>
          <w:p>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键盘、鼠标</w:t>
            </w:r>
          </w:p>
        </w:tc>
        <w:tc>
          <w:tcPr>
            <w:tcW w:w="2650" w:type="dxa"/>
            <w:vAlign w:val="center"/>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50套</w:t>
            </w:r>
          </w:p>
        </w:tc>
        <w:tc>
          <w:tcPr>
            <w:tcW w:w="2131" w:type="dxa"/>
            <w:vAlign w:val="center"/>
          </w:tcPr>
          <w:p>
            <w:pPr>
              <w:jc w:val="center"/>
              <w:rPr>
                <w:rFonts w:hint="eastAsia" w:ascii="仿宋" w:hAnsi="仿宋" w:eastAsia="仿宋" w:cs="仿宋"/>
                <w:sz w:val="21"/>
                <w:szCs w:val="21"/>
                <w:vertAlign w:val="baseline"/>
                <w:lang w:val="en-US" w:eastAsia="zh-CN"/>
              </w:rPr>
            </w:pPr>
          </w:p>
        </w:tc>
      </w:tr>
    </w:tbl>
    <w:p>
      <w:pPr>
        <w:rPr>
          <w:rFonts w:hint="default"/>
          <w:lang w:val="en-US" w:eastAsia="zh-CN"/>
        </w:rPr>
      </w:pPr>
    </w:p>
    <w:p>
      <w:pPr>
        <w:pStyle w:val="3"/>
        <w:rPr>
          <w:rFonts w:ascii="宋体" w:hAnsi="宋体" w:eastAsia="宋体" w:cstheme="minorBidi"/>
        </w:rPr>
      </w:pPr>
      <w:r>
        <w:rPr>
          <w:rFonts w:hint="eastAsia" w:ascii="宋体" w:hAnsi="宋体" w:eastAsia="宋体"/>
          <w:lang w:val="en-US" w:eastAsia="zh-CN"/>
        </w:rPr>
        <w:t>1、</w:t>
      </w:r>
      <w:r>
        <w:rPr>
          <w:rFonts w:hint="eastAsia" w:ascii="宋体" w:hAnsi="宋体" w:eastAsia="宋体"/>
        </w:rPr>
        <w:t>桌面云终端</w:t>
      </w:r>
      <w:bookmarkStart w:id="1" w:name="_GoBack"/>
      <w:bookmarkEnd w:id="1"/>
    </w:p>
    <w:tbl>
      <w:tblPr>
        <w:tblStyle w:val="6"/>
        <w:tblW w:w="5000" w:type="pct"/>
        <w:tblInd w:w="5" w:type="dxa"/>
        <w:tblLayout w:type="autofit"/>
        <w:tblCellMar>
          <w:top w:w="0" w:type="dxa"/>
          <w:left w:w="108" w:type="dxa"/>
          <w:bottom w:w="0" w:type="dxa"/>
          <w:right w:w="108" w:type="dxa"/>
        </w:tblCellMar>
      </w:tblPr>
      <w:tblGrid>
        <w:gridCol w:w="1737"/>
        <w:gridCol w:w="6785"/>
      </w:tblGrid>
      <w:tr>
        <w:tblPrEx>
          <w:tblCellMar>
            <w:top w:w="0" w:type="dxa"/>
            <w:left w:w="108" w:type="dxa"/>
            <w:bottom w:w="0" w:type="dxa"/>
            <w:right w:w="108" w:type="dxa"/>
          </w:tblCellMar>
        </w:tblPrEx>
        <w:trPr>
          <w:trHeight w:val="315" w:hRule="atLeast"/>
        </w:trPr>
        <w:tc>
          <w:tcPr>
            <w:tcW w:w="101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b/>
                <w:kern w:val="0"/>
                <w:sz w:val="20"/>
                <w:szCs w:val="20"/>
                <w:u w:color="000000"/>
              </w:rPr>
            </w:pPr>
            <w:r>
              <w:rPr>
                <w:rFonts w:hint="eastAsia" w:ascii="宋体" w:hAnsi="宋体" w:eastAsia="宋体" w:cs="宋体"/>
                <w:b/>
                <w:kern w:val="0"/>
                <w:sz w:val="20"/>
                <w:szCs w:val="20"/>
                <w:u w:color="000000"/>
              </w:rPr>
              <w:t>技术指标</w:t>
            </w:r>
          </w:p>
        </w:tc>
        <w:tc>
          <w:tcPr>
            <w:tcW w:w="3981"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kern w:val="0"/>
                <w:sz w:val="20"/>
                <w:szCs w:val="20"/>
                <w:u w:color="000000"/>
              </w:rPr>
            </w:pPr>
            <w:r>
              <w:rPr>
                <w:rFonts w:hint="eastAsia" w:ascii="宋体" w:hAnsi="宋体" w:eastAsia="宋体" w:cs="宋体"/>
                <w:b/>
                <w:kern w:val="0"/>
                <w:sz w:val="20"/>
                <w:szCs w:val="20"/>
                <w:u w:color="000000"/>
              </w:rPr>
              <w:t>具体参数</w:t>
            </w:r>
          </w:p>
        </w:tc>
      </w:tr>
      <w:tr>
        <w:tblPrEx>
          <w:tblCellMar>
            <w:top w:w="0" w:type="dxa"/>
            <w:left w:w="108" w:type="dxa"/>
            <w:bottom w:w="0" w:type="dxa"/>
            <w:right w:w="108" w:type="dxa"/>
          </w:tblCellMar>
        </w:tblPrEx>
        <w:trPr>
          <w:trHeight w:val="555" w:hRule="atLeast"/>
        </w:trPr>
        <w:tc>
          <w:tcPr>
            <w:tcW w:w="1019" w:type="pc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数量要求</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★本项目要求配备</w:t>
            </w:r>
            <w:r>
              <w:rPr>
                <w:rFonts w:ascii="宋体" w:hAnsi="宋体" w:eastAsia="宋体"/>
                <w:sz w:val="20"/>
                <w:szCs w:val="20"/>
              </w:rPr>
              <w:t>50</w:t>
            </w:r>
            <w:r>
              <w:rPr>
                <w:rFonts w:hint="eastAsia" w:ascii="宋体" w:hAnsi="宋体" w:eastAsia="宋体"/>
                <w:sz w:val="20"/>
                <w:szCs w:val="20"/>
              </w:rPr>
              <w:t>个终端，为满足产品兼容性，要求与桌面云软件、服务器同一品牌。</w:t>
            </w:r>
          </w:p>
        </w:tc>
      </w:tr>
      <w:tr>
        <w:tblPrEx>
          <w:tblCellMar>
            <w:top w:w="0" w:type="dxa"/>
            <w:left w:w="108" w:type="dxa"/>
            <w:bottom w:w="0" w:type="dxa"/>
            <w:right w:w="108" w:type="dxa"/>
          </w:tblCellMar>
        </w:tblPrEx>
        <w:trPr>
          <w:trHeight w:val="833" w:hRule="atLeast"/>
        </w:trPr>
        <w:tc>
          <w:tcPr>
            <w:tcW w:w="1019" w:type="pc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硬件规格</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★CPU主频≥1.</w:t>
            </w:r>
            <w:r>
              <w:rPr>
                <w:rFonts w:ascii="宋体" w:hAnsi="宋体" w:eastAsia="宋体"/>
                <w:sz w:val="20"/>
                <w:szCs w:val="20"/>
              </w:rPr>
              <w:t>4</w:t>
            </w:r>
            <w:r>
              <w:rPr>
                <w:rFonts w:hint="eastAsia" w:ascii="宋体" w:hAnsi="宋体" w:eastAsia="宋体"/>
                <w:sz w:val="20"/>
                <w:szCs w:val="20"/>
              </w:rPr>
              <w:t>Ghz，内存≥1G，存储≥4G，百兆电口≥</w:t>
            </w:r>
            <w:r>
              <w:rPr>
                <w:rFonts w:ascii="宋体" w:hAnsi="宋体" w:eastAsia="宋体"/>
                <w:sz w:val="20"/>
                <w:szCs w:val="20"/>
              </w:rPr>
              <w:t>1</w:t>
            </w:r>
            <w:r>
              <w:rPr>
                <w:rFonts w:hint="eastAsia" w:ascii="宋体" w:hAnsi="宋体" w:eastAsia="宋体"/>
                <w:sz w:val="20"/>
                <w:szCs w:val="20"/>
              </w:rPr>
              <w:t>个，USB接口≥6个，VGA接口≥1个。</w:t>
            </w:r>
          </w:p>
        </w:tc>
      </w:tr>
      <w:tr>
        <w:tblPrEx>
          <w:tblCellMar>
            <w:top w:w="0" w:type="dxa"/>
            <w:left w:w="108" w:type="dxa"/>
            <w:bottom w:w="0" w:type="dxa"/>
            <w:right w:w="108" w:type="dxa"/>
          </w:tblCellMar>
        </w:tblPrEx>
        <w:trPr>
          <w:trHeight w:val="315" w:hRule="atLeast"/>
        </w:trPr>
        <w:tc>
          <w:tcPr>
            <w:tcW w:w="101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其他要求</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为了方便管理，管理方式为虚拟机和瘦终端统一管理，降低管理难度。</w:t>
            </w:r>
          </w:p>
        </w:tc>
      </w:tr>
      <w:tr>
        <w:tblPrEx>
          <w:tblCellMar>
            <w:top w:w="0" w:type="dxa"/>
            <w:left w:w="108" w:type="dxa"/>
            <w:bottom w:w="0" w:type="dxa"/>
            <w:right w:w="108" w:type="dxa"/>
          </w:tblCellMar>
        </w:tblPrEx>
        <w:trPr>
          <w:trHeight w:val="315"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对瘦终端管理需要支持分组管理、批量移动、删除、关闭瘦终端，支持配置定时开关机计划及加电自启动功能，支持自定义开机画面、配置自动登录和保存密码。 </w:t>
            </w:r>
          </w:p>
        </w:tc>
      </w:tr>
      <w:tr>
        <w:tblPrEx>
          <w:tblCellMar>
            <w:top w:w="0" w:type="dxa"/>
            <w:left w:w="108" w:type="dxa"/>
            <w:bottom w:w="0" w:type="dxa"/>
            <w:right w:w="108" w:type="dxa"/>
          </w:tblCellMar>
        </w:tblPrEx>
        <w:trPr>
          <w:trHeight w:val="315"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★瘦终端</w:t>
            </w:r>
            <w:r>
              <w:rPr>
                <w:rFonts w:hint="eastAsia" w:ascii="宋体" w:hAnsi="宋体" w:eastAsia="宋体" w:cs="宋体"/>
                <w:kern w:val="0"/>
                <w:sz w:val="20"/>
                <w:szCs w:val="20"/>
              </w:rPr>
              <w:t>具备国家权威机构颁发的节能认证，提供相关证明文件并加盖厂商公章</w:t>
            </w:r>
          </w:p>
        </w:tc>
      </w:tr>
    </w:tbl>
    <w:p>
      <w:pPr>
        <w:widowControl/>
        <w:rPr>
          <w:rFonts w:ascii="宋体" w:hAnsi="宋体" w:eastAsia="宋体"/>
          <w:sz w:val="20"/>
          <w:szCs w:val="20"/>
        </w:rPr>
      </w:pPr>
    </w:p>
    <w:p>
      <w:pPr>
        <w:pStyle w:val="3"/>
        <w:rPr>
          <w:rFonts w:ascii="宋体" w:hAnsi="宋体" w:eastAsia="宋体"/>
        </w:rPr>
      </w:pPr>
      <w:r>
        <w:rPr>
          <w:rFonts w:hint="eastAsia" w:ascii="宋体" w:hAnsi="宋体" w:eastAsia="宋体"/>
          <w:lang w:val="en-US" w:eastAsia="zh-CN"/>
        </w:rPr>
        <w:t>2、</w:t>
      </w:r>
      <w:r>
        <w:rPr>
          <w:rFonts w:hint="eastAsia" w:ascii="宋体" w:hAnsi="宋体" w:eastAsia="宋体"/>
        </w:rPr>
        <w:t>桌面云应用控制软件</w:t>
      </w:r>
    </w:p>
    <w:tbl>
      <w:tblPr>
        <w:tblStyle w:val="6"/>
        <w:tblW w:w="5000" w:type="pct"/>
        <w:tblInd w:w="5" w:type="dxa"/>
        <w:tblLayout w:type="autofit"/>
        <w:tblCellMar>
          <w:top w:w="0" w:type="dxa"/>
          <w:left w:w="108" w:type="dxa"/>
          <w:bottom w:w="0" w:type="dxa"/>
          <w:right w:w="108" w:type="dxa"/>
        </w:tblCellMar>
      </w:tblPr>
      <w:tblGrid>
        <w:gridCol w:w="1737"/>
        <w:gridCol w:w="6785"/>
      </w:tblGrid>
      <w:tr>
        <w:tblPrEx>
          <w:tblCellMar>
            <w:top w:w="0" w:type="dxa"/>
            <w:left w:w="108" w:type="dxa"/>
            <w:bottom w:w="0" w:type="dxa"/>
            <w:right w:w="108" w:type="dxa"/>
          </w:tblCellMar>
        </w:tblPrEx>
        <w:trPr>
          <w:trHeight w:val="833" w:hRule="atLeast"/>
        </w:trPr>
        <w:tc>
          <w:tcPr>
            <w:tcW w:w="101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配置要求</w:t>
            </w:r>
          </w:p>
        </w:tc>
        <w:tc>
          <w:tcPr>
            <w:tcW w:w="3981" w:type="pct"/>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★项目要求提供5</w:t>
            </w:r>
            <w:r>
              <w:rPr>
                <w:rFonts w:ascii="宋体" w:hAnsi="宋体" w:eastAsia="宋体"/>
                <w:sz w:val="20"/>
                <w:szCs w:val="20"/>
              </w:rPr>
              <w:t>0</w:t>
            </w:r>
            <w:r>
              <w:rPr>
                <w:rFonts w:hint="eastAsia" w:ascii="宋体" w:hAnsi="宋体" w:eastAsia="宋体"/>
                <w:sz w:val="20"/>
                <w:szCs w:val="20"/>
              </w:rPr>
              <w:t>个VDI用户授权，可发布专有桌面、还原桌面、池化桌面、共享桌面、远程应用至少5种桌面资源，满足不同场景的应用需求。</w:t>
            </w:r>
          </w:p>
        </w:tc>
      </w:tr>
      <w:tr>
        <w:tblPrEx>
          <w:tblCellMar>
            <w:top w:w="0" w:type="dxa"/>
            <w:left w:w="108" w:type="dxa"/>
            <w:bottom w:w="0" w:type="dxa"/>
            <w:right w:w="108" w:type="dxa"/>
          </w:tblCellMar>
        </w:tblPrEx>
        <w:trPr>
          <w:trHeight w:val="833" w:hRule="atLeast"/>
        </w:trPr>
        <w:tc>
          <w:tcPr>
            <w:tcW w:w="1019" w:type="pct"/>
            <w:tcBorders>
              <w:top w:val="nil"/>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操作系统支持</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★虚拟机操作系统类型：支持Windows XP/7/10、Windows Server，支持三种以上的Linux虚拟桌面操作系统，其中要包含国产Linux操作系统（需提供与主流国产linux厂家兼容性报告或盖章说明涵</w:t>
            </w:r>
            <w:r>
              <w:rPr>
                <w:rFonts w:hint="eastAsia" w:ascii="宋体" w:hAnsi="宋体" w:eastAsia="宋体" w:cs="宋体"/>
                <w:kern w:val="0"/>
                <w:sz w:val="20"/>
                <w:szCs w:val="20"/>
              </w:rPr>
              <w:t>并加盖厂商公章</w:t>
            </w:r>
            <w:r>
              <w:rPr>
                <w:rFonts w:hint="eastAsia" w:ascii="宋体" w:hAnsi="宋体" w:eastAsia="宋体"/>
                <w:sz w:val="20"/>
                <w:szCs w:val="20"/>
              </w:rPr>
              <w:t>）。</w:t>
            </w:r>
          </w:p>
        </w:tc>
      </w:tr>
      <w:tr>
        <w:tblPrEx>
          <w:tblCellMar>
            <w:top w:w="0" w:type="dxa"/>
            <w:left w:w="108" w:type="dxa"/>
            <w:bottom w:w="0" w:type="dxa"/>
            <w:right w:w="108" w:type="dxa"/>
          </w:tblCellMar>
        </w:tblPrEx>
        <w:trPr>
          <w:trHeight w:val="833" w:hRule="atLeast"/>
        </w:trPr>
        <w:tc>
          <w:tcPr>
            <w:tcW w:w="1019" w:type="pct"/>
            <w:tcBorders>
              <w:top w:val="nil"/>
              <w:left w:val="single" w:color="auto" w:sz="4" w:space="0"/>
              <w:bottom w:val="nil"/>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管理运维</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本项目要求桌面云控制器所有组件完全集成化，不需要过多的安装调试步骤，后台导入一个镜像就可以完成部署。</w:t>
            </w:r>
          </w:p>
        </w:tc>
      </w:tr>
      <w:tr>
        <w:tblPrEx>
          <w:tblCellMar>
            <w:top w:w="0" w:type="dxa"/>
            <w:left w:w="108" w:type="dxa"/>
            <w:bottom w:w="0" w:type="dxa"/>
            <w:right w:w="108" w:type="dxa"/>
          </w:tblCellMar>
        </w:tblPrEx>
        <w:trPr>
          <w:trHeight w:val="555" w:hRule="atLeast"/>
        </w:trPr>
        <w:tc>
          <w:tcPr>
            <w:tcW w:w="1019" w:type="pct"/>
            <w:vMerge w:val="restart"/>
            <w:tcBorders>
              <w:top w:val="single" w:color="auto" w:sz="4" w:space="0"/>
              <w:left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高可靠及安全</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cs="宋体"/>
                <w:kern w:val="0"/>
                <w:sz w:val="20"/>
                <w:szCs w:val="20"/>
              </w:rPr>
              <w:t>支持客户端准入检测，可根据用户接入的终端类型、操作系统版本、接入IP和时间、软件安装情况等条件设置接入访问策略，如客户端不满足安全检测要求则不允许接入。</w:t>
            </w:r>
          </w:p>
        </w:tc>
      </w:tr>
      <w:tr>
        <w:tblPrEx>
          <w:tblCellMar>
            <w:top w:w="0" w:type="dxa"/>
            <w:left w:w="108" w:type="dxa"/>
            <w:bottom w:w="0" w:type="dxa"/>
            <w:right w:w="108" w:type="dxa"/>
          </w:tblCellMar>
        </w:tblPrEx>
        <w:trPr>
          <w:trHeight w:val="555" w:hRule="atLeast"/>
        </w:trPr>
        <w:tc>
          <w:tcPr>
            <w:tcW w:w="1019" w:type="pct"/>
            <w:vMerge w:val="continue"/>
            <w:tcBorders>
              <w:left w:val="single" w:color="auto" w:sz="4" w:space="0"/>
              <w:bottom w:val="nil"/>
              <w:right w:val="single" w:color="auto" w:sz="4" w:space="0"/>
            </w:tcBorders>
            <w:shd w:val="clear" w:color="000000" w:fill="FFFFFF"/>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提供第三方检测报告</w:t>
            </w:r>
            <w:r>
              <w:rPr>
                <w:rFonts w:hint="eastAsia" w:ascii="宋体" w:hAnsi="宋体" w:eastAsia="宋体" w:cs="宋体"/>
                <w:kern w:val="0"/>
                <w:sz w:val="20"/>
                <w:szCs w:val="20"/>
              </w:rPr>
              <w:t>并加盖厂商公章</w:t>
            </w:r>
            <w:r>
              <w:rPr>
                <w:rFonts w:hint="eastAsia" w:ascii="宋体" w:hAnsi="宋体" w:eastAsia="宋体"/>
                <w:sz w:val="20"/>
                <w:szCs w:val="20"/>
              </w:rPr>
              <w:t>）</w:t>
            </w:r>
          </w:p>
        </w:tc>
      </w:tr>
      <w:tr>
        <w:tblPrEx>
          <w:tblCellMar>
            <w:top w:w="0" w:type="dxa"/>
            <w:left w:w="108" w:type="dxa"/>
            <w:bottom w:w="0" w:type="dxa"/>
            <w:right w:w="108" w:type="dxa"/>
          </w:tblCellMar>
        </w:tblPrEx>
        <w:trPr>
          <w:trHeight w:val="555" w:hRule="atLeast"/>
        </w:trPr>
        <w:tc>
          <w:tcPr>
            <w:tcW w:w="1019" w:type="pct"/>
            <w:vMerge w:val="restart"/>
            <w:tcBorders>
              <w:top w:val="single" w:color="auto" w:sz="4" w:space="0"/>
              <w:left w:val="single" w:color="auto" w:sz="4" w:space="0"/>
              <w:bottom w:val="nil"/>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用户体验</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接入终端硬件类型：支持PC、笔记本（含Windows操作系统和MAC笔记本）、云终端（含ARM和X86）、iPad、iPhone、Android移动终端等设备接入访问虚拟桌面。</w:t>
            </w:r>
          </w:p>
        </w:tc>
      </w:tr>
      <w:tr>
        <w:tblPrEx>
          <w:tblCellMar>
            <w:top w:w="0" w:type="dxa"/>
            <w:left w:w="108" w:type="dxa"/>
            <w:bottom w:w="0" w:type="dxa"/>
            <w:right w:w="108" w:type="dxa"/>
          </w:tblCellMar>
        </w:tblPrEx>
        <w:trPr>
          <w:trHeight w:val="1111" w:hRule="atLeast"/>
        </w:trPr>
        <w:tc>
          <w:tcPr>
            <w:tcW w:w="1019" w:type="pct"/>
            <w:vMerge w:val="continue"/>
            <w:tcBorders>
              <w:top w:val="single" w:color="auto" w:sz="4" w:space="0"/>
              <w:left w:val="single" w:color="auto" w:sz="4" w:space="0"/>
              <w:bottom w:val="nil"/>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支持自助快照恢复，当用户自己误操作导致云桌面卡慢、蓝屏、死机或者中病毒的时候，用户通过导航条按钮，可以自助进行系统盘快照还原操作，支持安卓瘦终端、PC客户端。</w:t>
            </w:r>
          </w:p>
        </w:tc>
      </w:tr>
      <w:tr>
        <w:tblPrEx>
          <w:tblCellMar>
            <w:top w:w="0" w:type="dxa"/>
            <w:left w:w="108" w:type="dxa"/>
            <w:bottom w:w="0" w:type="dxa"/>
            <w:right w:w="108" w:type="dxa"/>
          </w:tblCellMar>
        </w:tblPrEx>
        <w:trPr>
          <w:trHeight w:val="840" w:hRule="atLeast"/>
        </w:trPr>
        <w:tc>
          <w:tcPr>
            <w:tcW w:w="1019" w:type="pct"/>
            <w:vMerge w:val="continue"/>
            <w:tcBorders>
              <w:top w:val="single" w:color="auto" w:sz="4" w:space="0"/>
              <w:left w:val="single" w:color="auto" w:sz="4" w:space="0"/>
              <w:bottom w:val="nil"/>
              <w:right w:val="single" w:color="auto" w:sz="4" w:space="0"/>
            </w:tcBorders>
            <w:vAlign w:val="center"/>
          </w:tcPr>
          <w:p>
            <w:pPr>
              <w:widowControl/>
              <w:rPr>
                <w:rFonts w:ascii="宋体" w:hAnsi="宋体" w:eastAsia="宋体"/>
                <w:sz w:val="20"/>
                <w:szCs w:val="20"/>
              </w:rPr>
            </w:pPr>
          </w:p>
        </w:tc>
        <w:tc>
          <w:tcPr>
            <w:tcW w:w="3981" w:type="pct"/>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★为了保证在网络条件较差的场景满足接入虚拟桌面的体验，要求所投产品需支持配置压缩质量、帧率等网络优化技术，以达到优质稳定的连接。（提供第三方检测报告证明</w:t>
            </w:r>
            <w:r>
              <w:rPr>
                <w:rFonts w:hint="eastAsia" w:ascii="宋体" w:hAnsi="宋体" w:eastAsia="宋体" w:cs="宋体"/>
                <w:kern w:val="0"/>
                <w:sz w:val="20"/>
                <w:szCs w:val="20"/>
              </w:rPr>
              <w:t>并加盖厂商公章</w:t>
            </w:r>
            <w:r>
              <w:rPr>
                <w:rFonts w:hint="eastAsia" w:ascii="宋体" w:hAnsi="宋体" w:eastAsia="宋体"/>
                <w:sz w:val="20"/>
                <w:szCs w:val="20"/>
              </w:rPr>
              <w:t>）</w:t>
            </w:r>
          </w:p>
        </w:tc>
      </w:tr>
      <w:tr>
        <w:tblPrEx>
          <w:tblCellMar>
            <w:top w:w="0" w:type="dxa"/>
            <w:left w:w="108" w:type="dxa"/>
            <w:bottom w:w="0" w:type="dxa"/>
            <w:right w:w="108" w:type="dxa"/>
          </w:tblCellMar>
        </w:tblPrEx>
        <w:trPr>
          <w:trHeight w:val="833" w:hRule="atLeast"/>
        </w:trPr>
        <w:tc>
          <w:tcPr>
            <w:tcW w:w="1019" w:type="pct"/>
            <w:vMerge w:val="continue"/>
            <w:tcBorders>
              <w:top w:val="single" w:color="auto" w:sz="4" w:space="0"/>
              <w:left w:val="single" w:color="auto" w:sz="4" w:space="0"/>
              <w:bottom w:val="nil"/>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客户端连接虚拟桌面无需依赖虚拟机IP，具体表现为禁用虚机网卡或者随意更改IP，桌面会话不会中断，用户可以正常办公和播放视频，避免因误操作而导致业务中断。 </w:t>
            </w:r>
          </w:p>
        </w:tc>
      </w:tr>
      <w:tr>
        <w:tblPrEx>
          <w:tblCellMar>
            <w:top w:w="0" w:type="dxa"/>
            <w:left w:w="108" w:type="dxa"/>
            <w:bottom w:w="0" w:type="dxa"/>
            <w:right w:w="108" w:type="dxa"/>
          </w:tblCellMar>
        </w:tblPrEx>
        <w:trPr>
          <w:trHeight w:val="1110" w:hRule="atLeast"/>
        </w:trPr>
        <w:tc>
          <w:tcPr>
            <w:tcW w:w="1019" w:type="pct"/>
            <w:vMerge w:val="continue"/>
            <w:tcBorders>
              <w:top w:val="single" w:color="auto" w:sz="4" w:space="0"/>
              <w:left w:val="single" w:color="auto" w:sz="4" w:space="0"/>
              <w:bottom w:val="nil"/>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支持视频重定向，视频文件不在服务器解码，直接重定向到终端本地解码，提升播放体验，能够兼容Media Player、暴风影音等多种本地播放器，以及优酷、土豆、腾讯等多种在线视频网站。 </w:t>
            </w:r>
          </w:p>
        </w:tc>
      </w:tr>
      <w:tr>
        <w:tblPrEx>
          <w:tblCellMar>
            <w:top w:w="0" w:type="dxa"/>
            <w:left w:w="108" w:type="dxa"/>
            <w:bottom w:w="0" w:type="dxa"/>
            <w:right w:w="108" w:type="dxa"/>
          </w:tblCellMar>
        </w:tblPrEx>
        <w:trPr>
          <w:trHeight w:val="833" w:hRule="atLeast"/>
        </w:trPr>
        <w:tc>
          <w:tcPr>
            <w:tcW w:w="1019" w:type="pct"/>
            <w:vMerge w:val="restart"/>
            <w:tcBorders>
              <w:top w:val="single" w:color="auto" w:sz="4" w:space="0"/>
              <w:left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集中管理</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★支持桌面云接入管理平台的分权分域，可创建不同管理员角色，并支持对管理员角色的操作权限进行自定义编辑。（提供功能截图</w:t>
            </w:r>
            <w:r>
              <w:rPr>
                <w:rFonts w:hint="eastAsia" w:ascii="宋体" w:hAnsi="宋体" w:eastAsia="宋体" w:cs="宋体"/>
                <w:kern w:val="0"/>
                <w:sz w:val="20"/>
                <w:szCs w:val="20"/>
              </w:rPr>
              <w:t>并加盖厂商公章</w:t>
            </w:r>
            <w:r>
              <w:rPr>
                <w:rFonts w:hint="eastAsia" w:ascii="宋体" w:hAnsi="宋体" w:eastAsia="宋体"/>
                <w:sz w:val="20"/>
                <w:szCs w:val="20"/>
              </w:rPr>
              <w:t>）</w:t>
            </w:r>
          </w:p>
        </w:tc>
      </w:tr>
      <w:tr>
        <w:tblPrEx>
          <w:tblCellMar>
            <w:top w:w="0" w:type="dxa"/>
            <w:left w:w="108" w:type="dxa"/>
            <w:bottom w:w="0" w:type="dxa"/>
            <w:right w:w="108" w:type="dxa"/>
          </w:tblCellMar>
        </w:tblPrEx>
        <w:trPr>
          <w:trHeight w:val="833" w:hRule="atLeast"/>
        </w:trPr>
        <w:tc>
          <w:tcPr>
            <w:tcW w:w="1019" w:type="pct"/>
            <w:vMerge w:val="continue"/>
            <w:tcBorders>
              <w:left w:val="single" w:color="auto" w:sz="4" w:space="0"/>
              <w:right w:val="single" w:color="auto" w:sz="4" w:space="0"/>
            </w:tcBorders>
            <w:shd w:val="clear" w:color="000000" w:fill="FFFFFF"/>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支持设置虚拟机开关机计划，一方面可避免并发开机</w:t>
            </w:r>
            <w:r>
              <w:rPr>
                <w:rFonts w:ascii="宋体" w:hAnsi="宋体" w:eastAsia="宋体"/>
                <w:sz w:val="20"/>
                <w:szCs w:val="20"/>
              </w:rPr>
              <w:t>IO风暴问题，另一方面可释放服务器资源。</w:t>
            </w:r>
          </w:p>
        </w:tc>
      </w:tr>
      <w:tr>
        <w:tblPrEx>
          <w:tblCellMar>
            <w:top w:w="0" w:type="dxa"/>
            <w:left w:w="108" w:type="dxa"/>
            <w:bottom w:w="0" w:type="dxa"/>
            <w:right w:w="108" w:type="dxa"/>
          </w:tblCellMar>
        </w:tblPrEx>
        <w:trPr>
          <w:trHeight w:val="833" w:hRule="atLeast"/>
        </w:trPr>
        <w:tc>
          <w:tcPr>
            <w:tcW w:w="1019" w:type="pct"/>
            <w:vMerge w:val="continue"/>
            <w:tcBorders>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支持开机状态下编辑虚拟机配置，重启生效，保障用户使用不受管理员配置影响。</w:t>
            </w:r>
          </w:p>
        </w:tc>
      </w:tr>
      <w:tr>
        <w:tblPrEx>
          <w:tblCellMar>
            <w:top w:w="0" w:type="dxa"/>
            <w:left w:w="108" w:type="dxa"/>
            <w:bottom w:w="0" w:type="dxa"/>
            <w:right w:w="108" w:type="dxa"/>
          </w:tblCellMar>
        </w:tblPrEx>
        <w:trPr>
          <w:trHeight w:val="833" w:hRule="atLeast"/>
        </w:trPr>
        <w:tc>
          <w:tcPr>
            <w:tcW w:w="1019"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运维功能</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支持模板链接克隆，克隆时可指定虚拟机数量、运行位置、存储位置、网口信息、磁盘大小，本项目要求100个虚拟机派时间不超过5分钟。 </w:t>
            </w:r>
          </w:p>
        </w:tc>
      </w:tr>
      <w:tr>
        <w:tblPrEx>
          <w:tblCellMar>
            <w:top w:w="0" w:type="dxa"/>
            <w:left w:w="108" w:type="dxa"/>
            <w:bottom w:w="0" w:type="dxa"/>
            <w:right w:w="108" w:type="dxa"/>
          </w:tblCellMar>
        </w:tblPrEx>
        <w:trPr>
          <w:trHeight w:val="555" w:hRule="atLeast"/>
        </w:trPr>
        <w:tc>
          <w:tcPr>
            <w:tcW w:w="1019" w:type="pct"/>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cs="宋体"/>
                <w:kern w:val="0"/>
                <w:sz w:val="20"/>
                <w:szCs w:val="20"/>
              </w:rPr>
              <w:t>支持软件分发，要求实现应用软件、驱动程序的增量式更新，不需要在每个虚拟机执行安装过程，整个分发过程秒级完成，且分发后不会覆盖原虚拟机的个性化配置和自主安装的软件，本项目要求支持应用软件、办公文件的分发。</w:t>
            </w:r>
          </w:p>
        </w:tc>
      </w:tr>
      <w:tr>
        <w:tblPrEx>
          <w:tblCellMar>
            <w:top w:w="0" w:type="dxa"/>
            <w:left w:w="108" w:type="dxa"/>
            <w:bottom w:w="0" w:type="dxa"/>
            <w:right w:w="108" w:type="dxa"/>
          </w:tblCellMar>
        </w:tblPrEx>
        <w:trPr>
          <w:trHeight w:val="833" w:hRule="atLeast"/>
        </w:trPr>
        <w:tc>
          <w:tcPr>
            <w:tcW w:w="101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安全性</w:t>
            </w: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支持设置首次登录强制修改密码、定时修改密码、图形校验码和软键盘等密码安全策略，以保障认证密码安全性，避免越权访问行为。 </w:t>
            </w:r>
          </w:p>
        </w:tc>
      </w:tr>
      <w:tr>
        <w:tblPrEx>
          <w:tblCellMar>
            <w:top w:w="0" w:type="dxa"/>
            <w:left w:w="108" w:type="dxa"/>
            <w:bottom w:w="0" w:type="dxa"/>
            <w:right w:w="108" w:type="dxa"/>
          </w:tblCellMar>
        </w:tblPrEx>
        <w:trPr>
          <w:trHeight w:val="833"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支持内</w:t>
            </w:r>
            <w:r>
              <w:rPr>
                <w:rFonts w:hint="eastAsia" w:ascii="宋体" w:hAnsi="宋体" w:eastAsia="宋体" w:cs="宋体"/>
                <w:kern w:val="0"/>
                <w:sz w:val="20"/>
                <w:szCs w:val="20"/>
              </w:rPr>
              <w:t>置防火墙，包括设置过滤规则、NAT设置、访问监控、防DOS攻击、QOS上传下载规则等。</w:t>
            </w:r>
          </w:p>
        </w:tc>
      </w:tr>
      <w:tr>
        <w:tblPrEx>
          <w:tblCellMar>
            <w:top w:w="0" w:type="dxa"/>
            <w:left w:w="108" w:type="dxa"/>
            <w:bottom w:w="0" w:type="dxa"/>
            <w:right w:w="108" w:type="dxa"/>
          </w:tblCellMar>
        </w:tblPrEx>
        <w:trPr>
          <w:trHeight w:val="833"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★支持根据接入环境不同匹配不同安全级别的策略，场景可基于</w:t>
            </w:r>
            <w:r>
              <w:rPr>
                <w:rFonts w:ascii="宋体" w:hAnsi="宋体" w:eastAsia="宋体"/>
                <w:sz w:val="20"/>
                <w:szCs w:val="20"/>
              </w:rPr>
              <w:t>IP范围、终端类型等，实现用户从不同接入地点、接入终端，匹配不同安全等级的认证策略及桌面策略。如用户从内网、外网访问桌面时获取不同策略，内网登录时可以使用U盘，外网登录时禁用所有外设；如用户在外网登陆时需要叠加辅助认证。（提供功能截图</w:t>
            </w:r>
            <w:r>
              <w:rPr>
                <w:rFonts w:hint="eastAsia" w:ascii="宋体" w:hAnsi="宋体" w:eastAsia="宋体" w:cs="宋体"/>
                <w:kern w:val="0"/>
                <w:sz w:val="20"/>
                <w:szCs w:val="20"/>
              </w:rPr>
              <w:t>并加盖厂商公章</w:t>
            </w:r>
            <w:r>
              <w:rPr>
                <w:rFonts w:ascii="宋体" w:hAnsi="宋体" w:eastAsia="宋体"/>
                <w:sz w:val="20"/>
                <w:szCs w:val="20"/>
              </w:rPr>
              <w:t>）</w:t>
            </w:r>
          </w:p>
        </w:tc>
      </w:tr>
      <w:tr>
        <w:tblPrEx>
          <w:tblCellMar>
            <w:top w:w="0" w:type="dxa"/>
            <w:left w:w="108" w:type="dxa"/>
            <w:bottom w:w="0" w:type="dxa"/>
            <w:right w:w="108" w:type="dxa"/>
          </w:tblCellMar>
        </w:tblPrEx>
        <w:trPr>
          <w:trHeight w:val="1110"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支持应用黑白名单技术，实现全方位云桌面管控，在黑名单中可以通过配置规则禁止指定应用或进程在云桌面中运行；在白名单中通过配置规则只允许规则中的应用或进程在云桌面中运行。</w:t>
            </w:r>
          </w:p>
        </w:tc>
      </w:tr>
      <w:tr>
        <w:tblPrEx>
          <w:tblCellMar>
            <w:top w:w="0" w:type="dxa"/>
            <w:left w:w="108" w:type="dxa"/>
            <w:bottom w:w="0" w:type="dxa"/>
            <w:right w:w="108" w:type="dxa"/>
          </w:tblCellMar>
        </w:tblPrEx>
        <w:trPr>
          <w:trHeight w:val="526"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兼容国内外多款虚拟化防病毒软件，防止虚拟机中毒。</w:t>
            </w:r>
          </w:p>
        </w:tc>
      </w:tr>
      <w:tr>
        <w:tblPrEx>
          <w:tblCellMar>
            <w:top w:w="0" w:type="dxa"/>
            <w:left w:w="108" w:type="dxa"/>
            <w:bottom w:w="0" w:type="dxa"/>
            <w:right w:w="108" w:type="dxa"/>
          </w:tblCellMar>
        </w:tblPrEx>
        <w:trPr>
          <w:trHeight w:val="1665"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w:t>
            </w:r>
            <w:r>
              <w:rPr>
                <w:rFonts w:hint="eastAsia" w:ascii="宋体" w:hAnsi="宋体" w:eastAsia="宋体" w:cs="宋体"/>
                <w:kern w:val="0"/>
                <w:sz w:val="20"/>
                <w:szCs w:val="20"/>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提供第三方检测报告证明并加盖厂商公章）</w:t>
            </w:r>
          </w:p>
        </w:tc>
      </w:tr>
      <w:tr>
        <w:tblPrEx>
          <w:tblCellMar>
            <w:top w:w="0" w:type="dxa"/>
            <w:left w:w="108" w:type="dxa"/>
            <w:bottom w:w="0" w:type="dxa"/>
            <w:right w:w="108" w:type="dxa"/>
          </w:tblCellMar>
        </w:tblPrEx>
        <w:trPr>
          <w:trHeight w:val="321" w:hRule="atLeast"/>
        </w:trPr>
        <w:tc>
          <w:tcPr>
            <w:tcW w:w="1019"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1"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w:t>
            </w:r>
            <w:r>
              <w:rPr>
                <w:rFonts w:hint="eastAsia" w:ascii="宋体" w:hAnsi="宋体" w:eastAsia="宋体" w:cs="宋体"/>
                <w:kern w:val="0"/>
                <w:sz w:val="20"/>
                <w:szCs w:val="20"/>
              </w:rPr>
              <w:t>为确保桌面云安全性，要求桌面云原厂商属于中华人民共和国公共安全行业标准《信息安全技术 桌面云系统安全技术要求》标准起草单位之一；（提供证明材料并加盖厂商公章）</w:t>
            </w:r>
          </w:p>
        </w:tc>
      </w:tr>
    </w:tbl>
    <w:p>
      <w:pPr>
        <w:pStyle w:val="3"/>
        <w:rPr>
          <w:rFonts w:ascii="宋体" w:hAnsi="宋体" w:eastAsia="宋体"/>
        </w:rPr>
      </w:pPr>
      <w:r>
        <w:rPr>
          <w:rFonts w:hint="eastAsia" w:ascii="宋体" w:hAnsi="宋体" w:eastAsia="宋体"/>
          <w:lang w:val="en-US" w:eastAsia="zh-CN"/>
        </w:rPr>
        <w:t>3、</w:t>
      </w:r>
      <w:r>
        <w:rPr>
          <w:rFonts w:hint="eastAsia" w:ascii="宋体" w:hAnsi="宋体" w:eastAsia="宋体"/>
        </w:rPr>
        <w:t>桌面云服务器</w:t>
      </w:r>
    </w:p>
    <w:p/>
    <w:tbl>
      <w:tblPr>
        <w:tblStyle w:val="6"/>
        <w:tblW w:w="5000" w:type="pct"/>
        <w:tblInd w:w="5" w:type="dxa"/>
        <w:tblLayout w:type="autofit"/>
        <w:tblCellMar>
          <w:top w:w="0" w:type="dxa"/>
          <w:left w:w="108" w:type="dxa"/>
          <w:bottom w:w="0" w:type="dxa"/>
          <w:right w:w="108" w:type="dxa"/>
        </w:tblCellMar>
      </w:tblPr>
      <w:tblGrid>
        <w:gridCol w:w="1725"/>
        <w:gridCol w:w="6797"/>
      </w:tblGrid>
      <w:tr>
        <w:tblPrEx>
          <w:tblCellMar>
            <w:top w:w="0" w:type="dxa"/>
            <w:left w:w="108" w:type="dxa"/>
            <w:bottom w:w="0" w:type="dxa"/>
            <w:right w:w="108" w:type="dxa"/>
          </w:tblCellMar>
        </w:tblPrEx>
        <w:trPr>
          <w:trHeight w:val="315" w:hRule="atLeast"/>
        </w:trPr>
        <w:tc>
          <w:tcPr>
            <w:tcW w:w="101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技术指标</w:t>
            </w:r>
          </w:p>
        </w:tc>
        <w:tc>
          <w:tcPr>
            <w:tcW w:w="3988" w:type="pct"/>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具体参数</w:t>
            </w:r>
          </w:p>
        </w:tc>
      </w:tr>
      <w:tr>
        <w:tblPrEx>
          <w:tblCellMar>
            <w:top w:w="0" w:type="dxa"/>
            <w:left w:w="108" w:type="dxa"/>
            <w:bottom w:w="0" w:type="dxa"/>
            <w:right w:w="108" w:type="dxa"/>
          </w:tblCellMar>
        </w:tblPrEx>
        <w:trPr>
          <w:trHeight w:val="833" w:hRule="atLeast"/>
        </w:trPr>
        <w:tc>
          <w:tcPr>
            <w:tcW w:w="101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数量要求</w:t>
            </w:r>
          </w:p>
        </w:tc>
        <w:tc>
          <w:tcPr>
            <w:tcW w:w="3988"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★≥3台，出厂时必须预装各类桌面云软件（含服务器虚拟化、存储虚拟化等），不允许提供祼机设备。</w:t>
            </w:r>
          </w:p>
        </w:tc>
      </w:tr>
      <w:tr>
        <w:tblPrEx>
          <w:tblCellMar>
            <w:top w:w="0" w:type="dxa"/>
            <w:left w:w="108" w:type="dxa"/>
            <w:bottom w:w="0" w:type="dxa"/>
            <w:right w:w="108" w:type="dxa"/>
          </w:tblCellMar>
        </w:tblPrEx>
        <w:trPr>
          <w:trHeight w:val="555" w:hRule="atLeast"/>
        </w:trPr>
        <w:tc>
          <w:tcPr>
            <w:tcW w:w="1012"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8"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要求服务器必须配备存储虚拟化软件模块，提供低成本、高可靠的存储方案。</w:t>
            </w:r>
          </w:p>
        </w:tc>
      </w:tr>
      <w:tr>
        <w:tblPrEx>
          <w:tblCellMar>
            <w:top w:w="0" w:type="dxa"/>
            <w:left w:w="108" w:type="dxa"/>
            <w:bottom w:w="0" w:type="dxa"/>
            <w:right w:w="108" w:type="dxa"/>
          </w:tblCellMar>
        </w:tblPrEx>
        <w:trPr>
          <w:trHeight w:val="1195" w:hRule="atLeast"/>
        </w:trPr>
        <w:tc>
          <w:tcPr>
            <w:tcW w:w="1012"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硬件规格</w:t>
            </w:r>
          </w:p>
        </w:tc>
        <w:tc>
          <w:tcPr>
            <w:tcW w:w="3988"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★CPU：颗数≥2个，主频≥2.</w:t>
            </w:r>
            <w:r>
              <w:rPr>
                <w:rFonts w:ascii="宋体" w:hAnsi="宋体" w:eastAsia="宋体"/>
                <w:sz w:val="20"/>
                <w:szCs w:val="20"/>
              </w:rPr>
              <w:t>4</w:t>
            </w:r>
            <w:r>
              <w:rPr>
                <w:rFonts w:hint="eastAsia" w:ascii="宋体" w:hAnsi="宋体" w:eastAsia="宋体"/>
                <w:sz w:val="20"/>
                <w:szCs w:val="20"/>
              </w:rPr>
              <w:t>GHz，单颗CPU核数≥1</w:t>
            </w:r>
            <w:r>
              <w:rPr>
                <w:rFonts w:ascii="宋体" w:hAnsi="宋体" w:eastAsia="宋体"/>
                <w:sz w:val="20"/>
                <w:szCs w:val="20"/>
              </w:rPr>
              <w:t>6</w:t>
            </w:r>
            <w:r>
              <w:rPr>
                <w:rFonts w:hint="eastAsia" w:ascii="宋体" w:hAnsi="宋体" w:eastAsia="宋体"/>
                <w:sz w:val="20"/>
                <w:szCs w:val="20"/>
              </w:rPr>
              <w:t>，内存≥2</w:t>
            </w:r>
            <w:r>
              <w:rPr>
                <w:rFonts w:ascii="宋体" w:hAnsi="宋体" w:eastAsia="宋体"/>
                <w:sz w:val="20"/>
                <w:szCs w:val="20"/>
              </w:rPr>
              <w:t>56</w:t>
            </w:r>
            <w:r>
              <w:rPr>
                <w:rFonts w:hint="eastAsia" w:ascii="宋体" w:hAnsi="宋体" w:eastAsia="宋体"/>
                <w:sz w:val="20"/>
                <w:szCs w:val="20"/>
              </w:rPr>
              <w:t>G、总内存插槽≥</w:t>
            </w:r>
            <w:r>
              <w:rPr>
                <w:rFonts w:ascii="宋体" w:hAnsi="宋体" w:eastAsia="宋体"/>
                <w:sz w:val="20"/>
                <w:szCs w:val="20"/>
              </w:rPr>
              <w:t>32</w:t>
            </w:r>
            <w:r>
              <w:rPr>
                <w:rFonts w:hint="eastAsia" w:ascii="宋体" w:hAnsi="宋体" w:eastAsia="宋体"/>
                <w:sz w:val="20"/>
                <w:szCs w:val="20"/>
              </w:rPr>
              <w:t>个，磁盘总插槽≥1</w:t>
            </w:r>
            <w:r>
              <w:rPr>
                <w:rFonts w:ascii="宋体" w:hAnsi="宋体" w:eastAsia="宋体"/>
                <w:sz w:val="20"/>
                <w:szCs w:val="20"/>
              </w:rPr>
              <w:t>2</w:t>
            </w:r>
            <w:r>
              <w:rPr>
                <w:rFonts w:hint="eastAsia" w:ascii="宋体" w:hAnsi="宋体" w:eastAsia="宋体"/>
                <w:sz w:val="20"/>
                <w:szCs w:val="20"/>
              </w:rPr>
              <w:t>个，千兆网口≥</w:t>
            </w:r>
            <w:r>
              <w:rPr>
                <w:rFonts w:ascii="宋体" w:hAnsi="宋体" w:eastAsia="宋体"/>
                <w:sz w:val="20"/>
                <w:szCs w:val="20"/>
              </w:rPr>
              <w:t>4</w:t>
            </w:r>
            <w:r>
              <w:rPr>
                <w:rFonts w:hint="eastAsia" w:ascii="宋体" w:hAnsi="宋体" w:eastAsia="宋体"/>
                <w:sz w:val="20"/>
                <w:szCs w:val="20"/>
              </w:rPr>
              <w:t>个、万兆光口≥2个，冗余双电源。</w:t>
            </w:r>
          </w:p>
        </w:tc>
      </w:tr>
      <w:tr>
        <w:tblPrEx>
          <w:tblCellMar>
            <w:top w:w="0" w:type="dxa"/>
            <w:left w:w="108" w:type="dxa"/>
            <w:bottom w:w="0" w:type="dxa"/>
            <w:right w:w="108" w:type="dxa"/>
          </w:tblCellMar>
        </w:tblPrEx>
        <w:trPr>
          <w:trHeight w:val="555" w:hRule="atLeast"/>
        </w:trPr>
        <w:tc>
          <w:tcPr>
            <w:tcW w:w="1012" w:type="pct"/>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sz w:val="20"/>
                <w:szCs w:val="20"/>
              </w:rPr>
            </w:pPr>
          </w:p>
        </w:tc>
        <w:tc>
          <w:tcPr>
            <w:tcW w:w="3988" w:type="pct"/>
            <w:tcBorders>
              <w:top w:val="nil"/>
              <w:left w:val="nil"/>
              <w:bottom w:val="single" w:color="auto" w:sz="4" w:space="0"/>
              <w:right w:val="single" w:color="auto" w:sz="4" w:space="0"/>
            </w:tcBorders>
            <w:shd w:val="clear" w:color="000000" w:fill="FFFFFF"/>
            <w:vAlign w:val="center"/>
          </w:tcPr>
          <w:p>
            <w:pPr>
              <w:widowControl/>
              <w:rPr>
                <w:rFonts w:ascii="宋体" w:hAnsi="宋体" w:eastAsia="宋体"/>
                <w:sz w:val="20"/>
                <w:szCs w:val="20"/>
              </w:rPr>
            </w:pPr>
            <w:r>
              <w:rPr>
                <w:rFonts w:hint="eastAsia" w:ascii="宋体" w:hAnsi="宋体" w:eastAsia="宋体"/>
                <w:sz w:val="20"/>
                <w:szCs w:val="20"/>
              </w:rPr>
              <w:t>★本项目要求单台服务器至少配备2块9</w:t>
            </w:r>
            <w:r>
              <w:rPr>
                <w:rFonts w:ascii="宋体" w:hAnsi="宋体" w:eastAsia="宋体"/>
                <w:sz w:val="20"/>
                <w:szCs w:val="20"/>
              </w:rPr>
              <w:t xml:space="preserve">60G </w:t>
            </w:r>
            <w:r>
              <w:rPr>
                <w:rFonts w:hint="eastAsia" w:ascii="宋体" w:hAnsi="宋体" w:eastAsia="宋体"/>
                <w:sz w:val="20"/>
                <w:szCs w:val="20"/>
              </w:rPr>
              <w:t>SSD硬盘和</w:t>
            </w:r>
            <w:r>
              <w:rPr>
                <w:rFonts w:ascii="宋体" w:hAnsi="宋体" w:eastAsia="宋体"/>
                <w:sz w:val="20"/>
                <w:szCs w:val="20"/>
              </w:rPr>
              <w:t>4</w:t>
            </w:r>
            <w:r>
              <w:rPr>
                <w:rFonts w:hint="eastAsia" w:ascii="宋体" w:hAnsi="宋体" w:eastAsia="宋体"/>
                <w:sz w:val="20"/>
                <w:szCs w:val="20"/>
              </w:rPr>
              <w:t>块4T的SATA硬盘。</w:t>
            </w:r>
          </w:p>
        </w:tc>
      </w:tr>
    </w:tbl>
    <w:p/>
    <w:p>
      <w:pPr>
        <w:widowControl/>
        <w:numPr>
          <w:ilvl w:val="0"/>
          <w:numId w:val="1"/>
        </w:numPr>
        <w:jc w:val="left"/>
        <w:rPr>
          <w:rFonts w:hint="eastAsia"/>
          <w:lang w:val="en-US" w:eastAsia="zh-CN"/>
        </w:rPr>
      </w:pPr>
      <w:r>
        <w:rPr>
          <w:rFonts w:hint="eastAsia"/>
          <w:lang w:val="en-US" w:eastAsia="zh-CN"/>
        </w:rPr>
        <w:t>显示器</w:t>
      </w:r>
    </w:p>
    <w:p>
      <w:pPr>
        <w:spacing w:line="420" w:lineRule="exact"/>
        <w:rPr>
          <w:rFonts w:hint="eastAsia" w:ascii="Calibri" w:hAnsi="Calibri"/>
          <w:sz w:val="18"/>
          <w:szCs w:val="18"/>
        </w:rPr>
      </w:pPr>
      <w:r>
        <w:rPr>
          <w:rFonts w:hint="eastAsia" w:ascii="Calibri" w:hAnsi="Calibri"/>
          <w:sz w:val="18"/>
          <w:szCs w:val="18"/>
        </w:rPr>
        <w:t>颜色：黑色；显示：亮度：≥200cd/m2；点距：≤0.2712mm；色数：≥16.7M；</w:t>
      </w:r>
    </w:p>
    <w:p>
      <w:pPr>
        <w:widowControl/>
        <w:numPr>
          <w:numId w:val="0"/>
        </w:numPr>
        <w:jc w:val="left"/>
        <w:rPr>
          <w:rFonts w:hint="eastAsia" w:ascii="Calibri" w:hAnsi="Calibri"/>
          <w:sz w:val="18"/>
          <w:szCs w:val="18"/>
        </w:rPr>
      </w:pPr>
      <w:r>
        <w:rPr>
          <w:rFonts w:hint="eastAsia" w:ascii="Calibri" w:hAnsi="Calibri"/>
          <w:sz w:val="18"/>
          <w:szCs w:val="18"/>
        </w:rPr>
        <w:t>规格：≥</w:t>
      </w:r>
      <w:r>
        <w:rPr>
          <w:rFonts w:hint="eastAsia" w:ascii="Calibri" w:hAnsi="Calibri"/>
          <w:sz w:val="18"/>
          <w:szCs w:val="18"/>
          <w:lang w:val="en-US" w:eastAsia="zh-CN"/>
        </w:rPr>
        <w:t>21</w:t>
      </w:r>
      <w:r>
        <w:rPr>
          <w:rFonts w:hint="eastAsia" w:ascii="Calibri" w:hAnsi="Calibri"/>
          <w:sz w:val="18"/>
          <w:szCs w:val="18"/>
        </w:rPr>
        <w:t>"宽屏；支持壁挂；接口：VGA1个</w:t>
      </w:r>
    </w:p>
    <w:p>
      <w:pPr>
        <w:pStyle w:val="2"/>
        <w:rPr>
          <w:rFonts w:hint="eastAsia"/>
        </w:rPr>
      </w:pPr>
    </w:p>
    <w:p>
      <w:pPr>
        <w:widowControl/>
        <w:numPr>
          <w:ilvl w:val="0"/>
          <w:numId w:val="1"/>
        </w:numPr>
        <w:ind w:left="0" w:leftChars="0" w:firstLine="0" w:firstLineChars="0"/>
        <w:jc w:val="left"/>
        <w:rPr>
          <w:rFonts w:hint="eastAsia" w:ascii="Calibri" w:hAnsi="Calibri"/>
          <w:sz w:val="18"/>
          <w:szCs w:val="18"/>
        </w:rPr>
      </w:pPr>
      <w:r>
        <w:rPr>
          <w:rFonts w:hint="eastAsia" w:ascii="Calibri" w:hAnsi="Calibri"/>
          <w:sz w:val="18"/>
          <w:szCs w:val="18"/>
        </w:rPr>
        <w:t>键盘鼠标</w:t>
      </w:r>
    </w:p>
    <w:p>
      <w:pPr>
        <w:widowControl/>
        <w:numPr>
          <w:numId w:val="0"/>
        </w:numPr>
        <w:ind w:leftChars="0"/>
        <w:jc w:val="left"/>
      </w:pPr>
      <w:r>
        <w:rPr>
          <w:rFonts w:hint="eastAsia" w:ascii="Calibri" w:hAnsi="Calibri"/>
          <w:sz w:val="18"/>
          <w:szCs w:val="18"/>
        </w:rPr>
        <w:t>接口：USB；键盘标准：89-108键, 分辨率：1000DPI, 工作方式：光电；线长m：≥1.8m；按键数：</w:t>
      </w:r>
      <w:r>
        <w:rPr>
          <w:rFonts w:hint="eastAsia" w:ascii="Calibri" w:hAnsi="Calibri"/>
          <w:sz w:val="18"/>
          <w:szCs w:val="18"/>
          <w:lang w:val="en-US" w:eastAsia="zh-CN"/>
        </w:rPr>
        <w:t>3</w:t>
      </w:r>
      <w:r>
        <w:br w:type="page"/>
      </w:r>
    </w:p>
    <w:p>
      <w:pPr>
        <w:widowControl/>
        <w:outlineLvl w:val="0"/>
        <w:rPr>
          <w:rFonts w:ascii="宋体" w:hAnsi="宋体" w:eastAsia="宋体" w:cs="仿宋"/>
          <w:b/>
          <w:kern w:val="0"/>
          <w:sz w:val="32"/>
          <w:szCs w:val="32"/>
        </w:rPr>
      </w:pPr>
      <w:r>
        <w:rPr>
          <w:rFonts w:hint="eastAsia" w:ascii="宋体" w:hAnsi="宋体" w:eastAsia="宋体" w:cs="仿宋"/>
          <w:b/>
          <w:kern w:val="0"/>
          <w:sz w:val="32"/>
          <w:szCs w:val="32"/>
        </w:rPr>
        <w:t>评分标准</w:t>
      </w:r>
    </w:p>
    <w:tbl>
      <w:tblPr>
        <w:tblStyle w:val="6"/>
        <w:tblW w:w="8997"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531"/>
        <w:gridCol w:w="56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Align w:val="center"/>
          </w:tcPr>
          <w:p>
            <w:pPr>
              <w:widowControl/>
              <w:spacing w:line="276" w:lineRule="auto"/>
              <w:jc w:val="center"/>
              <w:rPr>
                <w:rFonts w:ascii="宋体" w:hAnsi="宋体" w:eastAsia="宋体" w:cs="Yu Mincho Light"/>
                <w:b/>
                <w:kern w:val="0"/>
                <w:sz w:val="20"/>
                <w:szCs w:val="20"/>
              </w:rPr>
            </w:pPr>
            <w:bookmarkStart w:id="0" w:name="_Hlk21597744"/>
            <w:r>
              <w:rPr>
                <w:rFonts w:hint="eastAsia" w:ascii="宋体" w:hAnsi="宋体" w:eastAsia="宋体" w:cs="Yu Mincho Light"/>
                <w:b/>
                <w:kern w:val="0"/>
                <w:sz w:val="20"/>
                <w:szCs w:val="20"/>
              </w:rPr>
              <w:t>评审</w:t>
            </w:r>
          </w:p>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项目</w:t>
            </w:r>
          </w:p>
        </w:tc>
        <w:tc>
          <w:tcPr>
            <w:tcW w:w="1531" w:type="dxa"/>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评审分项</w:t>
            </w:r>
          </w:p>
        </w:tc>
        <w:tc>
          <w:tcPr>
            <w:tcW w:w="567" w:type="dxa"/>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分值</w:t>
            </w:r>
          </w:p>
        </w:tc>
        <w:tc>
          <w:tcPr>
            <w:tcW w:w="5812" w:type="dxa"/>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价格部分</w:t>
            </w:r>
            <w:r>
              <w:rPr>
                <w:rFonts w:hint="default" w:ascii="宋体" w:hAnsi="宋体" w:eastAsia="宋体" w:cs="Yu Mincho Light"/>
                <w:b/>
                <w:kern w:val="0"/>
                <w:sz w:val="20"/>
                <w:szCs w:val="20"/>
              </w:rPr>
              <w:t>3</w:t>
            </w:r>
            <w:r>
              <w:rPr>
                <w:rFonts w:hint="eastAsia" w:ascii="宋体" w:hAnsi="宋体" w:eastAsia="宋体" w:cs="Yu Mincho Light"/>
                <w:b/>
                <w:kern w:val="0"/>
                <w:sz w:val="20"/>
                <w:szCs w:val="20"/>
              </w:rPr>
              <w:t>0分</w:t>
            </w:r>
          </w:p>
        </w:tc>
        <w:tc>
          <w:tcPr>
            <w:tcW w:w="1531" w:type="dxa"/>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color w:val="000000"/>
                <w:kern w:val="0"/>
                <w:sz w:val="20"/>
                <w:szCs w:val="20"/>
              </w:rPr>
              <w:t>价格</w:t>
            </w:r>
          </w:p>
        </w:tc>
        <w:tc>
          <w:tcPr>
            <w:tcW w:w="567" w:type="dxa"/>
            <w:vAlign w:val="center"/>
          </w:tcPr>
          <w:p>
            <w:pPr>
              <w:widowControl/>
              <w:spacing w:line="276" w:lineRule="auto"/>
              <w:jc w:val="center"/>
              <w:rPr>
                <w:rFonts w:ascii="宋体" w:hAnsi="宋体" w:eastAsia="宋体" w:cs="Yu Mincho Light"/>
                <w:b/>
                <w:kern w:val="0"/>
                <w:sz w:val="20"/>
                <w:szCs w:val="20"/>
              </w:rPr>
            </w:pPr>
            <w:r>
              <w:rPr>
                <w:rFonts w:ascii="宋体" w:hAnsi="宋体" w:eastAsia="宋体" w:cs="Yu Mincho Light"/>
                <w:color w:val="000000"/>
                <w:kern w:val="0"/>
                <w:sz w:val="20"/>
                <w:szCs w:val="20"/>
              </w:rPr>
              <w:t>3</w:t>
            </w:r>
            <w:r>
              <w:rPr>
                <w:rFonts w:hint="eastAsia" w:ascii="宋体" w:hAnsi="宋体" w:eastAsia="宋体" w:cs="Yu Mincho Light"/>
                <w:color w:val="000000"/>
                <w:kern w:val="0"/>
                <w:sz w:val="20"/>
                <w:szCs w:val="20"/>
              </w:rPr>
              <w:t>0</w:t>
            </w:r>
          </w:p>
        </w:tc>
        <w:tc>
          <w:tcPr>
            <w:tcW w:w="5812" w:type="dxa"/>
            <w:vAlign w:val="center"/>
          </w:tcPr>
          <w:p>
            <w:pPr>
              <w:widowControl/>
              <w:spacing w:line="276" w:lineRule="auto"/>
              <w:jc w:val="left"/>
              <w:rPr>
                <w:rFonts w:ascii="宋体" w:hAnsi="宋体" w:eastAsia="宋体" w:cs="Yu Mincho Light"/>
                <w:b/>
                <w:kern w:val="0"/>
                <w:sz w:val="20"/>
                <w:szCs w:val="20"/>
              </w:rPr>
            </w:pPr>
            <w:r>
              <w:rPr>
                <w:rFonts w:hint="eastAsia" w:ascii="宋体" w:hAnsi="宋体" w:eastAsia="宋体" w:cs="Yu Mincho Light"/>
                <w:color w:val="000000"/>
                <w:kern w:val="0"/>
                <w:sz w:val="20"/>
                <w:szCs w:val="20"/>
              </w:rPr>
              <w:t>满足招标文件要求且投标报价以平均价为评标基准价，其价格为</w:t>
            </w:r>
            <w:r>
              <w:rPr>
                <w:rFonts w:hint="eastAsia" w:ascii="宋体" w:hAnsi="宋体" w:eastAsia="宋体" w:cs="Yu Mincho Light"/>
                <w:color w:val="000000"/>
                <w:kern w:val="0"/>
                <w:sz w:val="20"/>
                <w:szCs w:val="20"/>
                <w:lang w:val="en-US" w:eastAsia="zh-CN"/>
              </w:rPr>
              <w:t>3</w:t>
            </w:r>
            <w:r>
              <w:rPr>
                <w:rFonts w:hint="eastAsia" w:ascii="宋体" w:hAnsi="宋体" w:eastAsia="宋体" w:cs="Yu Mincho Light"/>
                <w:color w:val="000000"/>
                <w:kern w:val="0"/>
                <w:sz w:val="20"/>
                <w:szCs w:val="20"/>
              </w:rPr>
              <w:t>0分，投标人的价格分统一按照以下公式计算：</w:t>
            </w:r>
            <w:r>
              <w:rPr>
                <w:rFonts w:hint="eastAsia" w:ascii="宋体" w:hAnsi="宋体" w:eastAsia="宋体" w:cs="Yu Mincho Light"/>
                <w:color w:val="000000"/>
                <w:kern w:val="0"/>
                <w:sz w:val="20"/>
                <w:szCs w:val="20"/>
              </w:rPr>
              <w:br w:type="textWrapping"/>
            </w:r>
            <w:r>
              <w:rPr>
                <w:rFonts w:hint="eastAsia" w:ascii="宋体" w:hAnsi="宋体" w:eastAsia="宋体" w:cs="Yu Mincho Light"/>
                <w:color w:val="000000"/>
                <w:kern w:val="0"/>
                <w:sz w:val="20"/>
                <w:szCs w:val="20"/>
              </w:rPr>
              <w:t>投标报价得分=（评标基准价/投标报价）×</w:t>
            </w:r>
            <w:r>
              <w:rPr>
                <w:rFonts w:ascii="宋体" w:hAnsi="宋体" w:eastAsia="宋体" w:cs="Yu Mincho Light"/>
                <w:color w:val="000000"/>
                <w:kern w:val="0"/>
                <w:sz w:val="20"/>
                <w:szCs w:val="20"/>
              </w:rPr>
              <w:t>3</w:t>
            </w:r>
            <w:r>
              <w:rPr>
                <w:rFonts w:hint="eastAsia" w:ascii="宋体" w:hAnsi="宋体" w:eastAsia="宋体" w:cs="Yu Mincho Light"/>
                <w:color w:val="000000"/>
                <w:kern w:val="0"/>
                <w:sz w:val="20"/>
                <w:szCs w:val="20"/>
              </w:rPr>
              <w:t>0,得分保留小数点后两位数字；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7" w:type="dxa"/>
            <w:vMerge w:val="restart"/>
            <w:vAlign w:val="center"/>
          </w:tcPr>
          <w:p>
            <w:pPr>
              <w:spacing w:line="276" w:lineRule="auto"/>
              <w:jc w:val="center"/>
              <w:rPr>
                <w:rFonts w:hint="eastAsia" w:ascii="宋体" w:hAnsi="宋体" w:eastAsia="宋体" w:cs="Yu Mincho Light"/>
                <w:b/>
                <w:kern w:val="0"/>
                <w:sz w:val="20"/>
                <w:szCs w:val="20"/>
              </w:rPr>
            </w:pPr>
            <w:r>
              <w:rPr>
                <w:rFonts w:hint="eastAsia" w:ascii="宋体" w:hAnsi="宋体" w:eastAsia="宋体" w:cs="Yu Mincho Light"/>
                <w:b/>
                <w:kern w:val="0"/>
                <w:sz w:val="20"/>
                <w:szCs w:val="20"/>
              </w:rPr>
              <w:t>商务部分（</w:t>
            </w:r>
            <w:r>
              <w:rPr>
                <w:rFonts w:ascii="宋体" w:hAnsi="宋体" w:eastAsia="宋体" w:cs="Yu Mincho Light"/>
                <w:b/>
                <w:kern w:val="0"/>
                <w:sz w:val="20"/>
                <w:szCs w:val="20"/>
              </w:rPr>
              <w:t>20</w:t>
            </w:r>
            <w:r>
              <w:rPr>
                <w:rFonts w:hint="eastAsia" w:ascii="宋体" w:hAnsi="宋体" w:eastAsia="宋体" w:cs="Yu Mincho Light"/>
                <w:b/>
                <w:kern w:val="0"/>
                <w:sz w:val="20"/>
                <w:szCs w:val="20"/>
              </w:rPr>
              <w:t>分）</w:t>
            </w:r>
          </w:p>
        </w:tc>
        <w:tc>
          <w:tcPr>
            <w:tcW w:w="1531" w:type="dxa"/>
            <w:vMerge w:val="restart"/>
            <w:vAlign w:val="center"/>
          </w:tcPr>
          <w:p>
            <w:pPr>
              <w:autoSpaceDE w:val="0"/>
              <w:autoSpaceDN w:val="0"/>
              <w:adjustRightInd w:val="0"/>
              <w:spacing w:line="400" w:lineRule="exact"/>
              <w:jc w:val="both"/>
              <w:rPr>
                <w:rFonts w:hint="eastAsia" w:ascii="宋体" w:hAnsi="宋体" w:eastAsia="宋体" w:cs="Yu Mincho Light"/>
                <w:kern w:val="0"/>
                <w:sz w:val="20"/>
                <w:szCs w:val="20"/>
              </w:rPr>
            </w:pPr>
            <w:r>
              <w:rPr>
                <w:rFonts w:hint="eastAsia" w:ascii="宋体" w:hAnsi="宋体" w:eastAsia="宋体" w:cs="宋体"/>
                <w:sz w:val="21"/>
                <w:szCs w:val="21"/>
                <w:lang w:val="en-US" w:eastAsia="zh-CN"/>
              </w:rPr>
              <w:t>综合</w:t>
            </w:r>
            <w:r>
              <w:rPr>
                <w:rFonts w:hint="eastAsia" w:ascii="宋体" w:hAnsi="宋体" w:eastAsia="宋体" w:cs="宋体"/>
                <w:sz w:val="21"/>
                <w:szCs w:val="21"/>
                <w:lang w:val="zh-CN"/>
              </w:rPr>
              <w:t>实力</w:t>
            </w:r>
            <w:r>
              <w:rPr>
                <w:rFonts w:hint="eastAsia" w:ascii="宋体" w:hAnsi="宋体" w:eastAsia="宋体" w:cs="宋体"/>
                <w:kern w:val="0"/>
                <w:sz w:val="21"/>
                <w:szCs w:val="21"/>
              </w:rPr>
              <w:t>（9）</w:t>
            </w:r>
          </w:p>
        </w:tc>
        <w:tc>
          <w:tcPr>
            <w:tcW w:w="567" w:type="dxa"/>
            <w:vAlign w:val="center"/>
          </w:tcPr>
          <w:p>
            <w:pPr>
              <w:widowControl/>
              <w:spacing w:line="276" w:lineRule="auto"/>
              <w:rPr>
                <w:rFonts w:hint="eastAsia" w:ascii="宋体" w:hAnsi="宋体" w:eastAsia="宋体" w:cs="Yu Mincho Light"/>
                <w:kern w:val="0"/>
                <w:sz w:val="20"/>
                <w:szCs w:val="20"/>
              </w:rPr>
            </w:pPr>
            <w:r>
              <w:rPr>
                <w:rFonts w:hint="default" w:ascii="宋体" w:hAnsi="宋体" w:eastAsia="宋体" w:cs="Yu Mincho Light"/>
                <w:kern w:val="0"/>
                <w:sz w:val="20"/>
                <w:szCs w:val="20"/>
              </w:rPr>
              <w:t>3</w:t>
            </w:r>
            <w:r>
              <w:rPr>
                <w:rFonts w:hint="eastAsia" w:ascii="宋体" w:hAnsi="宋体" w:eastAsia="宋体" w:cs="Yu Mincho Light"/>
                <w:kern w:val="0"/>
                <w:sz w:val="20"/>
                <w:szCs w:val="20"/>
                <w:lang w:val="en-US" w:eastAsia="zh-Hans"/>
              </w:rPr>
              <w:t>分</w:t>
            </w:r>
          </w:p>
        </w:tc>
        <w:tc>
          <w:tcPr>
            <w:tcW w:w="5812" w:type="dxa"/>
            <w:vAlign w:val="center"/>
          </w:tcPr>
          <w:p>
            <w:pPr>
              <w:widowControl/>
              <w:spacing w:line="276" w:lineRule="auto"/>
              <w:rPr>
                <w:rFonts w:hint="eastAsia" w:ascii="宋体" w:hAnsi="宋体" w:eastAsia="宋体" w:cs="Yu Mincho Light"/>
                <w:kern w:val="0"/>
                <w:sz w:val="20"/>
                <w:szCs w:val="20"/>
              </w:rPr>
            </w:pP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商具备CS-CMMI 认证，需提供CS-CMMI 认证证书并加盖</w:t>
            </w: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商公章，提供CMMI3级的得1分，提供CMMI4级的得2分，提供CMMI5级的得3分，否则不得分。（以上证书需提供加盖</w:t>
            </w: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商公章的证书复印件）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087" w:type="dxa"/>
            <w:vMerge w:val="continue"/>
            <w:vAlign w:val="center"/>
          </w:tcPr>
          <w:p>
            <w:pPr>
              <w:spacing w:line="276" w:lineRule="auto"/>
              <w:jc w:val="center"/>
              <w:rPr>
                <w:rFonts w:hint="eastAsia" w:ascii="宋体" w:hAnsi="宋体" w:eastAsia="宋体" w:cs="Yu Mincho Light"/>
                <w:b/>
                <w:kern w:val="0"/>
                <w:sz w:val="20"/>
                <w:szCs w:val="20"/>
              </w:rPr>
            </w:pPr>
          </w:p>
        </w:tc>
        <w:tc>
          <w:tcPr>
            <w:tcW w:w="1531" w:type="dxa"/>
            <w:vMerge w:val="continue"/>
            <w:vAlign w:val="center"/>
          </w:tcPr>
          <w:p>
            <w:pPr>
              <w:autoSpaceDE w:val="0"/>
              <w:autoSpaceDN w:val="0"/>
              <w:adjustRightInd w:val="0"/>
              <w:spacing w:line="400" w:lineRule="exact"/>
              <w:ind w:firstLine="420" w:firstLineChars="0"/>
              <w:rPr>
                <w:rFonts w:hint="eastAsia" w:ascii="宋体" w:hAnsi="宋体" w:eastAsia="宋体" w:cs="Yu Mincho Light"/>
                <w:kern w:val="0"/>
                <w:sz w:val="20"/>
                <w:szCs w:val="20"/>
              </w:rPr>
            </w:pPr>
          </w:p>
        </w:tc>
        <w:tc>
          <w:tcPr>
            <w:tcW w:w="567" w:type="dxa"/>
            <w:vAlign w:val="center"/>
          </w:tcPr>
          <w:p>
            <w:pPr>
              <w:widowControl/>
              <w:spacing w:line="276" w:lineRule="auto"/>
              <w:rPr>
                <w:rFonts w:hint="eastAsia" w:ascii="宋体" w:hAnsi="宋体" w:eastAsia="宋体" w:cs="Yu Mincho Light"/>
                <w:kern w:val="0"/>
                <w:sz w:val="20"/>
                <w:szCs w:val="20"/>
              </w:rPr>
            </w:pPr>
            <w:r>
              <w:rPr>
                <w:rFonts w:hint="default" w:ascii="宋体" w:hAnsi="宋体" w:eastAsia="宋体" w:cs="Yu Mincho Light"/>
                <w:kern w:val="0"/>
                <w:sz w:val="20"/>
                <w:szCs w:val="20"/>
              </w:rPr>
              <w:t>6</w:t>
            </w:r>
            <w:r>
              <w:rPr>
                <w:rFonts w:hint="eastAsia" w:ascii="宋体" w:hAnsi="宋体" w:eastAsia="宋体" w:cs="Yu Mincho Light"/>
                <w:kern w:val="0"/>
                <w:sz w:val="20"/>
                <w:szCs w:val="20"/>
                <w:lang w:val="zh-CN"/>
              </w:rPr>
              <w:t>分</w:t>
            </w:r>
          </w:p>
        </w:tc>
        <w:tc>
          <w:tcPr>
            <w:tcW w:w="5812" w:type="dxa"/>
            <w:vAlign w:val="center"/>
          </w:tcPr>
          <w:p>
            <w:pPr>
              <w:widowControl/>
              <w:spacing w:line="276" w:lineRule="auto"/>
              <w:rPr>
                <w:rFonts w:hint="eastAsia" w:ascii="宋体" w:hAnsi="宋体" w:eastAsia="宋体" w:cs="Yu Mincho Light"/>
                <w:kern w:val="0"/>
                <w:sz w:val="20"/>
                <w:szCs w:val="20"/>
              </w:rPr>
            </w:pPr>
            <w:r>
              <w:rPr>
                <w:rFonts w:hint="eastAsia" w:ascii="宋体" w:hAnsi="宋体" w:eastAsia="宋体" w:cs="Yu Mincho Light"/>
                <w:kern w:val="0"/>
                <w:sz w:val="20"/>
                <w:szCs w:val="20"/>
              </w:rPr>
              <w:t>为保证</w:t>
            </w: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商具备足够优秀的安全服务能力，可以提供足够所需的安全服务能力及技术，</w:t>
            </w: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商具备信息安全管理体系认证证书（ISO 27001）的得</w:t>
            </w:r>
            <w:r>
              <w:rPr>
                <w:rFonts w:hint="default" w:ascii="宋体" w:hAnsi="宋体" w:eastAsia="宋体" w:cs="Yu Mincho Light"/>
                <w:kern w:val="0"/>
                <w:sz w:val="20"/>
                <w:szCs w:val="20"/>
              </w:rPr>
              <w:t>3</w:t>
            </w:r>
            <w:r>
              <w:rPr>
                <w:rFonts w:hint="eastAsia" w:ascii="宋体" w:hAnsi="宋体" w:eastAsia="宋体" w:cs="Yu Mincho Light"/>
                <w:kern w:val="0"/>
                <w:sz w:val="20"/>
                <w:szCs w:val="20"/>
              </w:rPr>
              <w:t>分；</w:t>
            </w:r>
            <w:r>
              <w:rPr>
                <w:rFonts w:hint="eastAsia" w:ascii="宋体" w:hAnsi="宋体" w:eastAsia="宋体" w:cs="Yu Mincho Light"/>
                <w:kern w:val="0"/>
                <w:sz w:val="20"/>
                <w:szCs w:val="20"/>
                <w:lang w:val="en-US" w:eastAsia="zh-CN"/>
              </w:rPr>
              <w:t>制造</w:t>
            </w:r>
            <w:r>
              <w:rPr>
                <w:rFonts w:hint="eastAsia" w:ascii="宋体" w:hAnsi="宋体" w:eastAsia="宋体" w:cs="Yu Mincho Light"/>
                <w:kern w:val="0"/>
                <w:sz w:val="20"/>
                <w:szCs w:val="20"/>
              </w:rPr>
              <w:t>商具备信息技术服务运行维护标准证书（ITSS）的的</w:t>
            </w:r>
            <w:r>
              <w:rPr>
                <w:rFonts w:hint="default" w:ascii="宋体" w:hAnsi="宋体" w:eastAsia="宋体" w:cs="Yu Mincho Light"/>
                <w:kern w:val="0"/>
                <w:sz w:val="20"/>
                <w:szCs w:val="20"/>
              </w:rPr>
              <w:t>3</w:t>
            </w:r>
            <w:r>
              <w:rPr>
                <w:rFonts w:hint="eastAsia" w:ascii="宋体" w:hAnsi="宋体" w:eastAsia="宋体" w:cs="Yu Mincho Light"/>
                <w:kern w:val="0"/>
                <w:sz w:val="20"/>
                <w:szCs w:val="20"/>
              </w:rPr>
              <w:t>分（以上证书需提供加盖供应商公章的证书复印件否则不得分）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Merge w:val="continue"/>
            <w:vAlign w:val="center"/>
          </w:tcPr>
          <w:p>
            <w:pPr>
              <w:widowControl/>
              <w:spacing w:line="276" w:lineRule="auto"/>
              <w:jc w:val="center"/>
              <w:rPr>
                <w:rFonts w:ascii="宋体" w:hAnsi="宋体" w:eastAsia="宋体" w:cs="Yu Mincho Light"/>
                <w:b/>
                <w:kern w:val="0"/>
                <w:sz w:val="20"/>
                <w:szCs w:val="20"/>
              </w:rPr>
            </w:pPr>
          </w:p>
        </w:tc>
        <w:tc>
          <w:tcPr>
            <w:tcW w:w="1531" w:type="dxa"/>
            <w:vAlign w:val="center"/>
          </w:tcPr>
          <w:p>
            <w:pPr>
              <w:widowControl/>
              <w:spacing w:line="276" w:lineRule="auto"/>
              <w:jc w:val="center"/>
              <w:rPr>
                <w:rFonts w:hint="eastAsia" w:ascii="宋体" w:hAnsi="宋体" w:eastAsia="宋体" w:cs="Yu Mincho Light"/>
                <w:kern w:val="0"/>
                <w:sz w:val="20"/>
                <w:szCs w:val="20"/>
              </w:rPr>
            </w:pPr>
            <w:r>
              <w:rPr>
                <w:rFonts w:hint="eastAsia" w:ascii="宋体" w:hAnsi="宋体" w:eastAsia="宋体" w:cs="Yu Mincho Light"/>
                <w:kern w:val="0"/>
                <w:sz w:val="20"/>
                <w:szCs w:val="20"/>
              </w:rPr>
              <w:t>财务和经营状况（3）</w:t>
            </w:r>
          </w:p>
        </w:tc>
        <w:tc>
          <w:tcPr>
            <w:tcW w:w="567" w:type="dxa"/>
            <w:vAlign w:val="center"/>
          </w:tcPr>
          <w:p>
            <w:pPr>
              <w:widowControl/>
              <w:spacing w:line="276" w:lineRule="auto"/>
              <w:jc w:val="left"/>
              <w:rPr>
                <w:rFonts w:ascii="宋体" w:hAnsi="宋体" w:eastAsia="宋体" w:cs="Yu Mincho Light"/>
                <w:kern w:val="0"/>
                <w:sz w:val="20"/>
                <w:szCs w:val="20"/>
              </w:rPr>
            </w:pPr>
            <w:r>
              <w:rPr>
                <w:rFonts w:hint="eastAsia" w:ascii="宋体" w:hAnsi="宋体" w:eastAsia="宋体" w:cs="Yu Mincho Light"/>
                <w:kern w:val="0"/>
                <w:sz w:val="20"/>
                <w:szCs w:val="20"/>
              </w:rPr>
              <w:t>3</w:t>
            </w:r>
          </w:p>
        </w:tc>
        <w:tc>
          <w:tcPr>
            <w:tcW w:w="5812" w:type="dxa"/>
            <w:vAlign w:val="center"/>
          </w:tcPr>
          <w:p>
            <w:pPr>
              <w:widowControl/>
              <w:spacing w:line="276" w:lineRule="auto"/>
              <w:rPr>
                <w:rFonts w:hint="eastAsia" w:ascii="宋体" w:hAnsi="宋体" w:eastAsia="宋体" w:cs="Yu Mincho Light"/>
                <w:kern w:val="0"/>
                <w:sz w:val="20"/>
                <w:szCs w:val="20"/>
              </w:rPr>
            </w:pPr>
            <w:r>
              <w:rPr>
                <w:rFonts w:hint="eastAsia" w:ascii="宋体" w:hAnsi="宋体" w:eastAsia="宋体" w:cs="Yu Mincho Light"/>
                <w:kern w:val="0"/>
                <w:sz w:val="20"/>
                <w:szCs w:val="20"/>
                <w:lang w:val="en-US" w:eastAsia="zh-CN"/>
              </w:rPr>
              <w:t>制造商</w:t>
            </w:r>
            <w:r>
              <w:rPr>
                <w:rFonts w:hint="eastAsia" w:ascii="宋体" w:hAnsi="宋体" w:eastAsia="宋体" w:cs="Yu Mincho Light"/>
                <w:kern w:val="0"/>
                <w:sz w:val="20"/>
                <w:szCs w:val="20"/>
              </w:rPr>
              <w:t>提供两年（</w:t>
            </w:r>
            <w:r>
              <w:rPr>
                <w:rFonts w:ascii="宋体" w:hAnsi="宋体" w:eastAsia="宋体" w:cs="Yu Mincho Light"/>
                <w:kern w:val="0"/>
                <w:sz w:val="20"/>
                <w:szCs w:val="20"/>
              </w:rPr>
              <w:t>2019-2021年3年中任意2年）第三方财务审计报表。提供有效的第三方财务审计报表得3分，未提供或提供不全不得分。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Merge w:val="continue"/>
            <w:vAlign w:val="center"/>
          </w:tcPr>
          <w:p>
            <w:pPr>
              <w:widowControl/>
              <w:spacing w:line="276" w:lineRule="auto"/>
              <w:jc w:val="center"/>
              <w:rPr>
                <w:rFonts w:ascii="宋体" w:hAnsi="宋体" w:eastAsia="宋体" w:cs="Yu Mincho Light"/>
                <w:b/>
                <w:kern w:val="0"/>
                <w:sz w:val="20"/>
                <w:szCs w:val="20"/>
              </w:rPr>
            </w:pPr>
          </w:p>
        </w:tc>
        <w:tc>
          <w:tcPr>
            <w:tcW w:w="1531" w:type="dxa"/>
            <w:vAlign w:val="center"/>
          </w:tcPr>
          <w:p>
            <w:pPr>
              <w:widowControl/>
              <w:spacing w:line="276" w:lineRule="auto"/>
              <w:jc w:val="center"/>
              <w:rPr>
                <w:rFonts w:ascii="宋体" w:hAnsi="宋体" w:eastAsia="宋体" w:cs="Yu Mincho Light"/>
                <w:kern w:val="0"/>
                <w:sz w:val="20"/>
                <w:szCs w:val="20"/>
              </w:rPr>
            </w:pPr>
            <w:r>
              <w:rPr>
                <w:rFonts w:hint="eastAsia" w:ascii="宋体" w:hAnsi="宋体" w:eastAsia="宋体" w:cs="Yu Mincho Light"/>
                <w:kern w:val="0"/>
                <w:sz w:val="20"/>
                <w:szCs w:val="20"/>
              </w:rPr>
              <w:t>售后服务（5）</w:t>
            </w:r>
          </w:p>
        </w:tc>
        <w:tc>
          <w:tcPr>
            <w:tcW w:w="567" w:type="dxa"/>
            <w:vAlign w:val="center"/>
          </w:tcPr>
          <w:p>
            <w:pPr>
              <w:widowControl/>
              <w:spacing w:line="276" w:lineRule="auto"/>
              <w:jc w:val="left"/>
              <w:rPr>
                <w:rFonts w:ascii="宋体" w:hAnsi="宋体" w:eastAsia="宋体" w:cs="Yu Mincho Light"/>
                <w:kern w:val="0"/>
                <w:sz w:val="20"/>
                <w:szCs w:val="20"/>
              </w:rPr>
            </w:pPr>
            <w:r>
              <w:rPr>
                <w:rFonts w:ascii="宋体" w:hAnsi="宋体" w:eastAsia="宋体" w:cs="Yu Mincho Light"/>
                <w:kern w:val="0"/>
                <w:sz w:val="20"/>
                <w:szCs w:val="20"/>
              </w:rPr>
              <w:t>5</w:t>
            </w:r>
          </w:p>
        </w:tc>
        <w:tc>
          <w:tcPr>
            <w:tcW w:w="5812" w:type="dxa"/>
            <w:vAlign w:val="center"/>
          </w:tcPr>
          <w:p>
            <w:pPr>
              <w:widowControl/>
              <w:spacing w:line="276" w:lineRule="auto"/>
              <w:rPr>
                <w:rFonts w:ascii="宋体" w:hAnsi="宋体" w:eastAsia="宋体" w:cs="Yu Mincho Light"/>
                <w:kern w:val="0"/>
                <w:sz w:val="20"/>
                <w:szCs w:val="20"/>
              </w:rPr>
            </w:pPr>
            <w:r>
              <w:rPr>
                <w:rFonts w:hint="eastAsia" w:ascii="宋体" w:hAnsi="宋体" w:eastAsia="宋体" w:cs="Yu Mincho Light"/>
                <w:kern w:val="0"/>
                <w:sz w:val="20"/>
                <w:szCs w:val="20"/>
              </w:rPr>
              <w:t>为保证售后服务的时效性，</w:t>
            </w:r>
            <w:r>
              <w:rPr>
                <w:rFonts w:ascii="宋体" w:hAnsi="宋体" w:eastAsia="宋体" w:cs="Yu Mincho Light"/>
                <w:kern w:val="0"/>
                <w:sz w:val="20"/>
                <w:szCs w:val="20"/>
              </w:rPr>
              <w:t>1</w:t>
            </w:r>
            <w:r>
              <w:rPr>
                <w:rFonts w:hint="eastAsia" w:ascii="宋体" w:hAnsi="宋体" w:eastAsia="宋体" w:cs="Yu Mincho Light"/>
                <w:kern w:val="0"/>
                <w:sz w:val="20"/>
                <w:szCs w:val="20"/>
              </w:rPr>
              <w:t>小时</w:t>
            </w:r>
            <w:r>
              <w:rPr>
                <w:rFonts w:ascii="宋体" w:hAnsi="宋体" w:eastAsia="宋体" w:cs="Yu Mincho Light"/>
                <w:kern w:val="0"/>
                <w:sz w:val="20"/>
                <w:szCs w:val="20"/>
              </w:rPr>
              <w:t>内到达故障现场的得5分，2小时内到达故障现场的得3分，其他不得分。（提供响应时间承诺和响应时间保障措施的相</w:t>
            </w:r>
            <w:r>
              <w:rPr>
                <w:rFonts w:hint="eastAsia" w:ascii="宋体" w:hAnsi="宋体" w:eastAsia="宋体" w:cs="Yu Mincho Light"/>
                <w:kern w:val="0"/>
                <w:sz w:val="20"/>
                <w:szCs w:val="20"/>
              </w:rPr>
              <w:t>相关</w:t>
            </w:r>
            <w:r>
              <w:rPr>
                <w:rFonts w:ascii="宋体" w:hAnsi="宋体" w:eastAsia="宋体" w:cs="Yu Mincho Light"/>
                <w:kern w:val="0"/>
                <w:sz w:val="20"/>
                <w:szCs w:val="20"/>
              </w:rPr>
              <w:t>证明资料，不提供不得分）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Merge w:val="continue"/>
            <w:vAlign w:val="center"/>
          </w:tcPr>
          <w:p>
            <w:pPr>
              <w:widowControl/>
              <w:spacing w:line="276" w:lineRule="auto"/>
              <w:jc w:val="center"/>
              <w:rPr>
                <w:rFonts w:hint="eastAsia" w:ascii="宋体" w:hAnsi="宋体" w:eastAsia="宋体" w:cs="Yu Mincho Light"/>
                <w:b/>
                <w:kern w:val="0"/>
                <w:sz w:val="20"/>
                <w:szCs w:val="20"/>
              </w:rPr>
            </w:pPr>
          </w:p>
        </w:tc>
        <w:tc>
          <w:tcPr>
            <w:tcW w:w="1531" w:type="dxa"/>
            <w:vAlign w:val="center"/>
          </w:tcPr>
          <w:p>
            <w:pPr>
              <w:widowControl/>
              <w:spacing w:line="276" w:lineRule="auto"/>
              <w:jc w:val="center"/>
              <w:rPr>
                <w:rFonts w:ascii="宋体" w:hAnsi="宋体" w:eastAsia="宋体" w:cs="Yu Mincho Light"/>
                <w:b/>
                <w:bCs/>
                <w:color w:val="FF0000"/>
                <w:kern w:val="0"/>
                <w:sz w:val="20"/>
                <w:szCs w:val="20"/>
              </w:rPr>
            </w:pPr>
            <w:r>
              <w:rPr>
                <w:rFonts w:hint="eastAsia" w:ascii="宋体" w:hAnsi="宋体" w:eastAsia="宋体" w:cs="Yu Mincho Light"/>
                <w:kern w:val="0"/>
                <w:sz w:val="20"/>
                <w:szCs w:val="20"/>
              </w:rPr>
              <w:t>重要设备售后服务（</w:t>
            </w:r>
            <w:r>
              <w:rPr>
                <w:rFonts w:ascii="宋体" w:hAnsi="宋体" w:eastAsia="宋体" w:cs="Yu Mincho Light"/>
                <w:kern w:val="0"/>
                <w:sz w:val="20"/>
                <w:szCs w:val="20"/>
              </w:rPr>
              <w:t>3</w:t>
            </w:r>
            <w:r>
              <w:rPr>
                <w:rFonts w:hint="eastAsia" w:ascii="宋体" w:hAnsi="宋体" w:eastAsia="宋体" w:cs="Yu Mincho Light"/>
                <w:kern w:val="0"/>
                <w:sz w:val="20"/>
                <w:szCs w:val="20"/>
              </w:rPr>
              <w:t>）</w:t>
            </w:r>
          </w:p>
        </w:tc>
        <w:tc>
          <w:tcPr>
            <w:tcW w:w="567" w:type="dxa"/>
            <w:vAlign w:val="center"/>
          </w:tcPr>
          <w:p>
            <w:pPr>
              <w:widowControl/>
              <w:spacing w:line="276" w:lineRule="auto"/>
              <w:jc w:val="left"/>
              <w:rPr>
                <w:rFonts w:ascii="宋体" w:hAnsi="宋体" w:eastAsia="宋体" w:cs="Yu Mincho Light"/>
                <w:kern w:val="0"/>
                <w:sz w:val="20"/>
                <w:szCs w:val="20"/>
              </w:rPr>
            </w:pPr>
            <w:r>
              <w:rPr>
                <w:rFonts w:ascii="宋体" w:hAnsi="宋体" w:eastAsia="宋体" w:cs="Yu Mincho Light"/>
                <w:kern w:val="0"/>
                <w:sz w:val="20"/>
                <w:szCs w:val="20"/>
              </w:rPr>
              <w:t>3</w:t>
            </w:r>
          </w:p>
        </w:tc>
        <w:tc>
          <w:tcPr>
            <w:tcW w:w="5812" w:type="dxa"/>
            <w:vAlign w:val="center"/>
          </w:tcPr>
          <w:p>
            <w:pPr>
              <w:spacing w:line="22" w:lineRule="atLeast"/>
              <w:rPr>
                <w:rFonts w:ascii="宋体" w:hAnsi="宋体" w:eastAsia="宋体" w:cs="Yu Mincho Light"/>
                <w:sz w:val="20"/>
                <w:szCs w:val="20"/>
              </w:rPr>
            </w:pPr>
            <w:r>
              <w:rPr>
                <w:rFonts w:hint="eastAsia" w:ascii="宋体" w:hAnsi="宋体" w:eastAsia="宋体" w:cs="Yu Mincho Light"/>
                <w:sz w:val="20"/>
                <w:szCs w:val="20"/>
              </w:rPr>
              <w:t>投标人提供设备原厂商售后服务承诺函，得</w:t>
            </w:r>
            <w:r>
              <w:rPr>
                <w:rFonts w:ascii="宋体" w:hAnsi="宋体" w:eastAsia="宋体" w:cs="Yu Mincho Light"/>
                <w:sz w:val="20"/>
                <w:szCs w:val="20"/>
              </w:rPr>
              <w:t>3</w:t>
            </w:r>
            <w:r>
              <w:rPr>
                <w:rFonts w:hint="eastAsia" w:ascii="宋体" w:hAnsi="宋体" w:eastAsia="宋体" w:cs="Yu Mincho Light"/>
                <w:sz w:val="20"/>
                <w:szCs w:val="20"/>
              </w:rPr>
              <w:t>分，没有不得分（原厂商售后服务承诺函须与所投标人提供的设备品牌型号一致）。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87" w:type="dxa"/>
            <w:vMerge w:val="restart"/>
            <w:vAlign w:val="center"/>
          </w:tcPr>
          <w:p>
            <w:pPr>
              <w:widowControl/>
              <w:spacing w:line="276" w:lineRule="auto"/>
              <w:jc w:val="center"/>
              <w:rPr>
                <w:rFonts w:ascii="宋体" w:hAnsi="宋体" w:eastAsia="宋体" w:cs="Yu Mincho Light"/>
                <w:b/>
                <w:kern w:val="0"/>
                <w:sz w:val="20"/>
                <w:szCs w:val="20"/>
              </w:rPr>
            </w:pPr>
            <w:r>
              <w:rPr>
                <w:rFonts w:hint="eastAsia" w:ascii="宋体" w:hAnsi="宋体" w:eastAsia="宋体" w:cs="Yu Mincho Light"/>
                <w:b/>
                <w:kern w:val="0"/>
                <w:sz w:val="20"/>
                <w:szCs w:val="20"/>
              </w:rPr>
              <w:t>技术得分</w:t>
            </w:r>
          </w:p>
          <w:p>
            <w:pPr>
              <w:widowControl/>
              <w:spacing w:line="276" w:lineRule="auto"/>
              <w:rPr>
                <w:rFonts w:ascii="宋体" w:hAnsi="宋体" w:eastAsia="宋体" w:cs="Yu Mincho Light"/>
                <w:b/>
                <w:kern w:val="0"/>
                <w:sz w:val="20"/>
                <w:szCs w:val="20"/>
              </w:rPr>
            </w:pPr>
            <w:r>
              <w:rPr>
                <w:rFonts w:hint="eastAsia" w:ascii="宋体" w:hAnsi="宋体" w:eastAsia="宋体" w:cs="Yu Mincho Light"/>
                <w:b/>
                <w:kern w:val="0"/>
                <w:sz w:val="20"/>
                <w:szCs w:val="20"/>
              </w:rPr>
              <w:t>（</w:t>
            </w:r>
            <w:r>
              <w:rPr>
                <w:rFonts w:ascii="宋体" w:hAnsi="宋体" w:eastAsia="宋体" w:cs="Yu Mincho Light"/>
                <w:b/>
                <w:kern w:val="0"/>
                <w:sz w:val="20"/>
                <w:szCs w:val="20"/>
              </w:rPr>
              <w:t>50</w:t>
            </w:r>
            <w:r>
              <w:rPr>
                <w:rFonts w:hint="eastAsia" w:ascii="宋体" w:hAnsi="宋体" w:eastAsia="宋体" w:cs="Yu Mincho Light"/>
                <w:b/>
                <w:kern w:val="0"/>
                <w:sz w:val="20"/>
                <w:szCs w:val="20"/>
              </w:rPr>
              <w:t>分）</w:t>
            </w:r>
          </w:p>
          <w:p>
            <w:pPr>
              <w:spacing w:line="276" w:lineRule="auto"/>
              <w:jc w:val="center"/>
              <w:rPr>
                <w:rFonts w:ascii="宋体" w:hAnsi="宋体" w:eastAsia="宋体" w:cs="Yu Mincho Light"/>
                <w:kern w:val="0"/>
                <w:sz w:val="20"/>
                <w:szCs w:val="20"/>
              </w:rPr>
            </w:pPr>
          </w:p>
        </w:tc>
        <w:tc>
          <w:tcPr>
            <w:tcW w:w="1531" w:type="dxa"/>
            <w:vAlign w:val="center"/>
          </w:tcPr>
          <w:p>
            <w:pPr>
              <w:widowControl/>
              <w:spacing w:line="276" w:lineRule="auto"/>
              <w:jc w:val="center"/>
              <w:rPr>
                <w:rFonts w:ascii="宋体" w:hAnsi="宋体" w:eastAsia="宋体" w:cs="Yu Mincho Light"/>
                <w:kern w:val="0"/>
                <w:sz w:val="20"/>
                <w:szCs w:val="20"/>
              </w:rPr>
            </w:pPr>
            <w:r>
              <w:rPr>
                <w:rFonts w:hint="eastAsia" w:ascii="宋体" w:hAnsi="宋体" w:eastAsia="宋体" w:cs="Yu Mincho Light"/>
                <w:kern w:val="0"/>
                <w:sz w:val="20"/>
                <w:szCs w:val="20"/>
              </w:rPr>
              <w:t>整体技术</w:t>
            </w:r>
          </w:p>
          <w:p>
            <w:pPr>
              <w:widowControl/>
              <w:spacing w:line="276" w:lineRule="auto"/>
              <w:jc w:val="center"/>
              <w:rPr>
                <w:rFonts w:ascii="宋体" w:hAnsi="宋体" w:eastAsia="宋体" w:cs="Yu Mincho Light"/>
                <w:kern w:val="0"/>
                <w:sz w:val="20"/>
                <w:szCs w:val="20"/>
              </w:rPr>
            </w:pPr>
            <w:r>
              <w:rPr>
                <w:rFonts w:hint="eastAsia" w:ascii="宋体" w:hAnsi="宋体" w:eastAsia="宋体" w:cs="Yu Mincho Light"/>
                <w:kern w:val="0"/>
                <w:sz w:val="20"/>
                <w:szCs w:val="20"/>
              </w:rPr>
              <w:t>要求（</w:t>
            </w:r>
            <w:r>
              <w:rPr>
                <w:rFonts w:ascii="宋体" w:hAnsi="宋体" w:eastAsia="宋体" w:cs="Yu Mincho Light"/>
                <w:kern w:val="0"/>
                <w:sz w:val="20"/>
                <w:szCs w:val="20"/>
              </w:rPr>
              <w:t>30</w:t>
            </w:r>
            <w:r>
              <w:rPr>
                <w:rFonts w:hint="eastAsia" w:ascii="宋体" w:hAnsi="宋体" w:eastAsia="宋体" w:cs="Yu Mincho Light"/>
                <w:kern w:val="0"/>
                <w:sz w:val="20"/>
                <w:szCs w:val="20"/>
              </w:rPr>
              <w:t>）</w:t>
            </w:r>
          </w:p>
        </w:tc>
        <w:tc>
          <w:tcPr>
            <w:tcW w:w="567" w:type="dxa"/>
            <w:vAlign w:val="center"/>
          </w:tcPr>
          <w:p>
            <w:pPr>
              <w:widowControl/>
              <w:spacing w:line="276" w:lineRule="auto"/>
              <w:jc w:val="center"/>
              <w:rPr>
                <w:rFonts w:ascii="宋体" w:hAnsi="宋体" w:eastAsia="宋体" w:cs="Yu Mincho Light"/>
                <w:kern w:val="0"/>
                <w:sz w:val="20"/>
                <w:szCs w:val="20"/>
              </w:rPr>
            </w:pPr>
            <w:r>
              <w:rPr>
                <w:rFonts w:ascii="宋体" w:hAnsi="宋体" w:eastAsia="宋体" w:cs="Yu Mincho Light"/>
                <w:kern w:val="0"/>
                <w:sz w:val="20"/>
                <w:szCs w:val="20"/>
              </w:rPr>
              <w:t>3</w:t>
            </w:r>
            <w:r>
              <w:rPr>
                <w:rFonts w:hint="eastAsia" w:ascii="宋体" w:hAnsi="宋体" w:eastAsia="宋体" w:cs="Yu Mincho Light"/>
                <w:kern w:val="0"/>
                <w:sz w:val="20"/>
                <w:szCs w:val="20"/>
              </w:rPr>
              <w:t>0</w:t>
            </w:r>
          </w:p>
        </w:tc>
        <w:tc>
          <w:tcPr>
            <w:tcW w:w="5812" w:type="dxa"/>
            <w:vAlign w:val="center"/>
          </w:tcPr>
          <w:p>
            <w:pPr>
              <w:spacing w:line="22" w:lineRule="atLeast"/>
              <w:rPr>
                <w:rFonts w:ascii="宋体" w:hAnsi="宋体" w:eastAsia="宋体" w:cs="Yu Mincho Light"/>
                <w:sz w:val="20"/>
                <w:szCs w:val="20"/>
              </w:rPr>
            </w:pPr>
            <w:r>
              <w:rPr>
                <w:rFonts w:hint="eastAsia" w:ascii="宋体" w:hAnsi="宋体" w:eastAsia="宋体" w:cs="Yu Mincho Light"/>
                <w:sz w:val="20"/>
                <w:szCs w:val="20"/>
              </w:rPr>
              <w:t>投标产品技术参数和配置完全满足或高于招标文件要求的，得</w:t>
            </w:r>
            <w:r>
              <w:rPr>
                <w:rFonts w:ascii="宋体" w:hAnsi="宋体" w:eastAsia="宋体" w:cs="Yu Mincho Light"/>
                <w:sz w:val="20"/>
                <w:szCs w:val="20"/>
              </w:rPr>
              <w:t>3</w:t>
            </w:r>
            <w:r>
              <w:rPr>
                <w:rFonts w:hint="eastAsia" w:ascii="宋体" w:hAnsi="宋体" w:eastAsia="宋体" w:cs="Yu Mincho Light"/>
                <w:sz w:val="20"/>
                <w:szCs w:val="20"/>
              </w:rPr>
              <w:t>0分</w:t>
            </w:r>
            <w:r>
              <w:rPr>
                <w:rFonts w:hint="eastAsia" w:ascii="宋体" w:hAnsi="宋体" w:eastAsia="宋体"/>
                <w:sz w:val="20"/>
                <w:szCs w:val="20"/>
              </w:rPr>
              <w:t>；对于关键的性能参数和配置（标识★），</w:t>
            </w:r>
            <w:r>
              <w:rPr>
                <w:rFonts w:hint="eastAsia" w:ascii="宋体" w:hAnsi="宋体" w:eastAsia="宋体" w:cs="Yu Mincho Light"/>
                <w:sz w:val="20"/>
                <w:szCs w:val="20"/>
              </w:rPr>
              <w:t>每项不满足扣</w:t>
            </w:r>
            <w:r>
              <w:rPr>
                <w:rFonts w:ascii="宋体" w:hAnsi="宋体" w:eastAsia="宋体" w:cs="Yu Mincho Light"/>
                <w:sz w:val="20"/>
                <w:szCs w:val="20"/>
              </w:rPr>
              <w:t>2</w:t>
            </w:r>
            <w:r>
              <w:rPr>
                <w:rFonts w:hint="eastAsia" w:ascii="宋体" w:hAnsi="宋体" w:eastAsia="宋体" w:cs="Yu Mincho Light"/>
                <w:sz w:val="20"/>
                <w:szCs w:val="20"/>
              </w:rPr>
              <w:t>分；对于非关键技术指标的一般指标，每项不满足扣</w:t>
            </w:r>
            <w:r>
              <w:rPr>
                <w:rFonts w:ascii="宋体" w:hAnsi="宋体" w:eastAsia="宋体" w:cs="Yu Mincho Light"/>
                <w:sz w:val="20"/>
                <w:szCs w:val="20"/>
              </w:rPr>
              <w:t>1</w:t>
            </w:r>
            <w:r>
              <w:rPr>
                <w:rFonts w:hint="eastAsia" w:ascii="宋体" w:hAnsi="宋体" w:eastAsia="宋体" w:cs="Yu Mincho Light"/>
                <w:sz w:val="20"/>
                <w:szCs w:val="20"/>
              </w:rPr>
              <w:t>分，此项最低得分0分，最高得</w:t>
            </w:r>
            <w:r>
              <w:rPr>
                <w:rFonts w:ascii="宋体" w:hAnsi="宋体" w:eastAsia="宋体" w:cs="Yu Mincho Light"/>
                <w:sz w:val="20"/>
                <w:szCs w:val="20"/>
              </w:rPr>
              <w:t>3</w:t>
            </w:r>
            <w:r>
              <w:rPr>
                <w:rFonts w:hint="eastAsia" w:ascii="宋体" w:hAnsi="宋体" w:eastAsia="宋体" w:cs="Yu Mincho Light"/>
                <w:sz w:val="20"/>
                <w:szCs w:val="20"/>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87" w:type="dxa"/>
            <w:vMerge w:val="continue"/>
            <w:vAlign w:val="center"/>
          </w:tcPr>
          <w:p>
            <w:pPr>
              <w:spacing w:line="276" w:lineRule="auto"/>
              <w:jc w:val="center"/>
              <w:rPr>
                <w:rFonts w:ascii="宋体" w:hAnsi="宋体" w:eastAsia="宋体" w:cs="Yu Mincho Light"/>
                <w:kern w:val="0"/>
                <w:sz w:val="20"/>
                <w:szCs w:val="20"/>
              </w:rPr>
            </w:pPr>
          </w:p>
        </w:tc>
        <w:tc>
          <w:tcPr>
            <w:tcW w:w="1531" w:type="dxa"/>
            <w:vAlign w:val="center"/>
          </w:tcPr>
          <w:p>
            <w:pPr>
              <w:widowControl/>
              <w:spacing w:line="276" w:lineRule="auto"/>
              <w:jc w:val="center"/>
              <w:rPr>
                <w:rFonts w:ascii="宋体" w:hAnsi="宋体" w:eastAsia="宋体"/>
                <w:sz w:val="20"/>
                <w:szCs w:val="20"/>
              </w:rPr>
            </w:pPr>
            <w:r>
              <w:rPr>
                <w:rFonts w:hint="eastAsia" w:ascii="宋体" w:hAnsi="宋体" w:eastAsia="宋体"/>
                <w:sz w:val="20"/>
                <w:szCs w:val="20"/>
              </w:rPr>
              <w:t>桌面云（</w:t>
            </w:r>
            <w:r>
              <w:rPr>
                <w:rFonts w:ascii="宋体" w:hAnsi="宋体" w:eastAsia="宋体"/>
                <w:sz w:val="20"/>
                <w:szCs w:val="20"/>
              </w:rPr>
              <w:t>7</w:t>
            </w:r>
            <w:r>
              <w:rPr>
                <w:rFonts w:hint="eastAsia" w:ascii="宋体" w:hAnsi="宋体" w:eastAsia="宋体"/>
                <w:sz w:val="20"/>
                <w:szCs w:val="20"/>
              </w:rPr>
              <w:t>）</w:t>
            </w:r>
          </w:p>
        </w:tc>
        <w:tc>
          <w:tcPr>
            <w:tcW w:w="567" w:type="dxa"/>
            <w:vAlign w:val="center"/>
          </w:tcPr>
          <w:p>
            <w:pPr>
              <w:rPr>
                <w:rFonts w:ascii="宋体" w:hAnsi="宋体" w:eastAsia="宋体" w:cs="Yu Mincho Light"/>
                <w:kern w:val="0"/>
                <w:sz w:val="20"/>
                <w:szCs w:val="20"/>
              </w:rPr>
            </w:pPr>
            <w:r>
              <w:rPr>
                <w:rFonts w:ascii="宋体" w:hAnsi="宋体" w:eastAsia="宋体" w:cs="Yu Mincho Light"/>
                <w:kern w:val="0"/>
                <w:sz w:val="20"/>
                <w:szCs w:val="20"/>
              </w:rPr>
              <w:t>7</w:t>
            </w:r>
          </w:p>
        </w:tc>
        <w:tc>
          <w:tcPr>
            <w:tcW w:w="5812" w:type="dxa"/>
            <w:vAlign w:val="center"/>
          </w:tcPr>
          <w:p>
            <w:pPr>
              <w:widowControl/>
              <w:rPr>
                <w:rFonts w:ascii="宋体" w:hAnsi="宋体" w:eastAsia="宋体" w:cs="Yu Mincho Light"/>
                <w:color w:val="000000"/>
                <w:kern w:val="0"/>
                <w:sz w:val="20"/>
                <w:szCs w:val="20"/>
              </w:rPr>
            </w:pPr>
            <w:r>
              <w:rPr>
                <w:rFonts w:ascii="宋体" w:hAnsi="宋体" w:eastAsia="宋体" w:cs="Yu Mincho Light"/>
                <w:color w:val="000000"/>
                <w:kern w:val="0"/>
                <w:sz w:val="20"/>
                <w:szCs w:val="20"/>
              </w:rPr>
              <w:t>1、</w:t>
            </w:r>
            <w:r>
              <w:rPr>
                <w:rFonts w:hint="eastAsia" w:ascii="宋体" w:hAnsi="宋体" w:eastAsia="宋体" w:cs="Yu Mincho Light"/>
                <w:color w:val="000000"/>
                <w:kern w:val="0"/>
                <w:sz w:val="20"/>
                <w:szCs w:val="20"/>
              </w:rPr>
              <w:t>为保障云平台的领先性和成熟度，云平台厂商需连续两年（</w:t>
            </w:r>
            <w:r>
              <w:rPr>
                <w:rFonts w:ascii="宋体" w:hAnsi="宋体" w:eastAsia="宋体" w:cs="Yu Mincho Light"/>
                <w:color w:val="000000"/>
                <w:kern w:val="0"/>
                <w:sz w:val="20"/>
                <w:szCs w:val="20"/>
              </w:rPr>
              <w:t>2020~2021）入围Gartner《超融合基础设施软件魔力象限》，提供证明材料；</w:t>
            </w:r>
          </w:p>
          <w:p>
            <w:pPr>
              <w:widowControl/>
              <w:rPr>
                <w:rFonts w:ascii="宋体" w:hAnsi="宋体" w:eastAsia="宋体" w:cs="Yu Mincho Light"/>
                <w:color w:val="000000"/>
                <w:kern w:val="0"/>
                <w:sz w:val="20"/>
                <w:szCs w:val="20"/>
              </w:rPr>
            </w:pPr>
            <w:r>
              <w:rPr>
                <w:rFonts w:ascii="宋体" w:hAnsi="宋体" w:eastAsia="宋体" w:cs="Yu Mincho Light"/>
                <w:color w:val="000000"/>
                <w:kern w:val="0"/>
                <w:sz w:val="20"/>
                <w:szCs w:val="20"/>
              </w:rPr>
              <w:t>2、</w:t>
            </w:r>
            <w:r>
              <w:rPr>
                <w:rFonts w:hint="eastAsia" w:ascii="宋体" w:hAnsi="宋体" w:eastAsia="宋体" w:cs="Yu Mincho Light"/>
                <w:color w:val="000000"/>
                <w:kern w:val="0"/>
                <w:sz w:val="20"/>
                <w:szCs w:val="20"/>
              </w:rPr>
              <w:t>桌面云一体机通所采用的超融合技术需获得数据中心联盟颁发的云计算超融合架构可信评估证书，以证明产品的技术稳定性。</w:t>
            </w:r>
            <w:r>
              <w:rPr>
                <w:rFonts w:ascii="宋体" w:hAnsi="宋体" w:eastAsia="宋体" w:cs="Yu Mincho Light"/>
                <w:color w:val="000000"/>
                <w:kern w:val="0"/>
                <w:sz w:val="20"/>
                <w:szCs w:val="20"/>
              </w:rPr>
              <w:t>；</w:t>
            </w:r>
          </w:p>
          <w:p>
            <w:pPr>
              <w:rPr>
                <w:rFonts w:ascii="宋体" w:hAnsi="宋体" w:eastAsia="宋体" w:cs="Yu Mincho Light"/>
                <w:kern w:val="0"/>
                <w:sz w:val="20"/>
                <w:szCs w:val="20"/>
              </w:rPr>
            </w:pPr>
            <w:r>
              <w:rPr>
                <w:rFonts w:hint="eastAsia" w:ascii="宋体" w:hAnsi="宋体" w:eastAsia="宋体" w:cs="Yu Mincho Light"/>
                <w:color w:val="000000"/>
                <w:kern w:val="0"/>
                <w:sz w:val="20"/>
                <w:szCs w:val="20"/>
              </w:rPr>
              <w:t>以上要求均需提供证明材料并加盖厂商公章，全部满足得</w:t>
            </w:r>
            <w:r>
              <w:rPr>
                <w:rFonts w:ascii="宋体" w:hAnsi="宋体" w:eastAsia="宋体" w:cs="Yu Mincho Light"/>
                <w:color w:val="000000"/>
                <w:kern w:val="0"/>
                <w:sz w:val="20"/>
                <w:szCs w:val="20"/>
              </w:rPr>
              <w:t>7分，1项满足得4分，其余不得分。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87" w:type="dxa"/>
            <w:vMerge w:val="continue"/>
            <w:vAlign w:val="center"/>
          </w:tcPr>
          <w:p>
            <w:pPr>
              <w:spacing w:line="276" w:lineRule="auto"/>
              <w:jc w:val="center"/>
              <w:rPr>
                <w:rFonts w:ascii="宋体" w:hAnsi="宋体" w:eastAsia="宋体" w:cs="Yu Mincho Light"/>
                <w:kern w:val="0"/>
                <w:sz w:val="20"/>
                <w:szCs w:val="20"/>
              </w:rPr>
            </w:pPr>
          </w:p>
        </w:tc>
        <w:tc>
          <w:tcPr>
            <w:tcW w:w="1531" w:type="dxa"/>
            <w:vAlign w:val="center"/>
          </w:tcPr>
          <w:p>
            <w:pPr>
              <w:widowControl/>
              <w:spacing w:line="276" w:lineRule="auto"/>
              <w:jc w:val="center"/>
              <w:rPr>
                <w:rFonts w:ascii="宋体" w:hAnsi="宋体" w:eastAsia="宋体"/>
                <w:sz w:val="20"/>
                <w:szCs w:val="20"/>
              </w:rPr>
            </w:pPr>
            <w:r>
              <w:rPr>
                <w:rFonts w:hint="eastAsia" w:ascii="宋体" w:hAnsi="宋体" w:eastAsia="宋体"/>
                <w:sz w:val="20"/>
                <w:szCs w:val="20"/>
              </w:rPr>
              <w:t>厂商资质（</w:t>
            </w:r>
            <w:r>
              <w:rPr>
                <w:rFonts w:ascii="宋体" w:hAnsi="宋体" w:eastAsia="宋体"/>
                <w:sz w:val="20"/>
                <w:szCs w:val="20"/>
              </w:rPr>
              <w:t>7</w:t>
            </w:r>
            <w:r>
              <w:rPr>
                <w:rFonts w:hint="eastAsia" w:ascii="宋体" w:hAnsi="宋体" w:eastAsia="宋体"/>
                <w:sz w:val="20"/>
                <w:szCs w:val="20"/>
              </w:rPr>
              <w:t>）</w:t>
            </w:r>
          </w:p>
        </w:tc>
        <w:tc>
          <w:tcPr>
            <w:tcW w:w="567" w:type="dxa"/>
            <w:vAlign w:val="center"/>
          </w:tcPr>
          <w:p>
            <w:pPr>
              <w:rPr>
                <w:rFonts w:ascii="宋体" w:hAnsi="宋体" w:eastAsia="宋体" w:cs="Yu Mincho Light"/>
                <w:kern w:val="0"/>
                <w:sz w:val="20"/>
                <w:szCs w:val="20"/>
              </w:rPr>
            </w:pPr>
            <w:r>
              <w:rPr>
                <w:rFonts w:ascii="宋体" w:hAnsi="宋体" w:eastAsia="宋体" w:cs="Yu Mincho Light"/>
                <w:kern w:val="0"/>
                <w:sz w:val="20"/>
                <w:szCs w:val="20"/>
              </w:rPr>
              <w:t>7</w:t>
            </w:r>
          </w:p>
        </w:tc>
        <w:tc>
          <w:tcPr>
            <w:tcW w:w="5812" w:type="dxa"/>
            <w:vAlign w:val="center"/>
          </w:tcPr>
          <w:p>
            <w:pPr>
              <w:widowControl/>
              <w:spacing w:line="276" w:lineRule="auto"/>
              <w:jc w:val="left"/>
              <w:rPr>
                <w:rFonts w:ascii="宋体" w:hAnsi="宋体" w:eastAsia="宋体" w:cs="Segoe UI Symbol"/>
                <w:kern w:val="0"/>
                <w:sz w:val="20"/>
                <w:szCs w:val="20"/>
              </w:rPr>
            </w:pPr>
            <w:r>
              <w:rPr>
                <w:rFonts w:hint="eastAsia" w:ascii="宋体" w:hAnsi="宋体" w:eastAsia="宋体" w:cs="Segoe UI Symbol"/>
                <w:kern w:val="0"/>
                <w:sz w:val="20"/>
                <w:szCs w:val="20"/>
              </w:rPr>
              <w:t>为保证设备制造厂商具备足够优秀的安全服务能力，可以提供足够所需的安全服务能力，要求安全设备制造厂商：为保证设备制造厂商具备足够优秀的安全服务能力，能够提供足够所需的安全服务能力：具备</w:t>
            </w:r>
            <w:r>
              <w:rPr>
                <w:rFonts w:hint="eastAsia" w:ascii="宋体" w:hAnsi="宋体" w:eastAsia="宋体" w:cs="Segoe UI Symbol"/>
                <w:b/>
                <w:bCs/>
                <w:kern w:val="0"/>
                <w:sz w:val="20"/>
                <w:szCs w:val="20"/>
              </w:rPr>
              <w:t>《</w:t>
            </w:r>
            <w:r>
              <w:rPr>
                <w:rFonts w:ascii="宋体" w:hAnsi="宋体" w:eastAsia="宋体" w:cs="Segoe UI Symbol"/>
                <w:b/>
                <w:bCs/>
                <w:kern w:val="0"/>
                <w:sz w:val="20"/>
                <w:szCs w:val="20"/>
              </w:rPr>
              <w:t>CCRC信息安全服务资质-风险评估类</w:t>
            </w:r>
            <w:r>
              <w:rPr>
                <w:rFonts w:hint="eastAsia" w:ascii="宋体" w:hAnsi="宋体" w:eastAsia="宋体" w:cs="Segoe UI Symbol"/>
                <w:b/>
                <w:bCs/>
                <w:kern w:val="0"/>
                <w:sz w:val="20"/>
                <w:szCs w:val="20"/>
              </w:rPr>
              <w:t>、应急处理类、安全运维类、安全集成类、安全开发类</w:t>
            </w:r>
            <w:r>
              <w:rPr>
                <w:rFonts w:ascii="宋体" w:hAnsi="宋体" w:eastAsia="宋体" w:cs="Segoe UI Symbol"/>
                <w:b/>
                <w:bCs/>
                <w:kern w:val="0"/>
                <w:sz w:val="20"/>
                <w:szCs w:val="20"/>
              </w:rPr>
              <w:t>》</w:t>
            </w:r>
            <w:r>
              <w:rPr>
                <w:rFonts w:hint="eastAsia" w:ascii="宋体" w:hAnsi="宋体" w:eastAsia="宋体" w:cs="Segoe UI Symbol"/>
                <w:kern w:val="0"/>
                <w:sz w:val="20"/>
                <w:szCs w:val="20"/>
              </w:rPr>
              <w:t>二级及以上资质</w:t>
            </w:r>
          </w:p>
          <w:p>
            <w:pPr>
              <w:widowControl/>
              <w:rPr>
                <w:rFonts w:ascii="宋体" w:hAnsi="宋体" w:eastAsia="宋体" w:cs="Yu Mincho Light"/>
                <w:color w:val="000000"/>
                <w:kern w:val="0"/>
                <w:sz w:val="20"/>
                <w:szCs w:val="20"/>
              </w:rPr>
            </w:pPr>
            <w:r>
              <w:rPr>
                <w:rFonts w:hint="eastAsia" w:ascii="宋体" w:hAnsi="宋体" w:eastAsia="宋体" w:cs="Segoe UI Symbol"/>
                <w:kern w:val="0"/>
                <w:sz w:val="20"/>
                <w:szCs w:val="20"/>
              </w:rPr>
              <w:t>以上证书需提供加盖厂商公章的证书扫描件或复印件，5项全部提供得</w:t>
            </w:r>
            <w:r>
              <w:rPr>
                <w:rFonts w:ascii="宋体" w:hAnsi="宋体" w:eastAsia="宋体" w:cs="Segoe UI Symbol"/>
                <w:kern w:val="0"/>
                <w:sz w:val="20"/>
                <w:szCs w:val="20"/>
              </w:rPr>
              <w:t>7分，</w:t>
            </w:r>
            <w:r>
              <w:rPr>
                <w:rFonts w:hint="eastAsia" w:ascii="宋体" w:hAnsi="宋体" w:eastAsia="宋体" w:cs="Segoe UI Symbol"/>
                <w:kern w:val="0"/>
                <w:sz w:val="20"/>
                <w:szCs w:val="20"/>
              </w:rPr>
              <w:t>若不能全部提供，每提供1项得</w:t>
            </w:r>
            <w:r>
              <w:rPr>
                <w:rFonts w:ascii="宋体" w:hAnsi="宋体" w:eastAsia="宋体" w:cs="Segoe UI Symbol"/>
                <w:kern w:val="0"/>
                <w:sz w:val="20"/>
                <w:szCs w:val="20"/>
              </w:rPr>
              <w:t>1</w:t>
            </w:r>
            <w:r>
              <w:rPr>
                <w:rFonts w:hint="eastAsia" w:ascii="宋体" w:hAnsi="宋体" w:eastAsia="宋体" w:cs="Segoe UI Symbol"/>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087" w:type="dxa"/>
            <w:vMerge w:val="continue"/>
            <w:vAlign w:val="center"/>
          </w:tcPr>
          <w:p>
            <w:pPr>
              <w:spacing w:line="276" w:lineRule="auto"/>
              <w:jc w:val="center"/>
              <w:rPr>
                <w:rFonts w:ascii="宋体" w:hAnsi="宋体" w:eastAsia="宋体" w:cs="Yu Mincho Light"/>
                <w:kern w:val="0"/>
                <w:sz w:val="20"/>
                <w:szCs w:val="20"/>
              </w:rPr>
            </w:pPr>
          </w:p>
        </w:tc>
        <w:tc>
          <w:tcPr>
            <w:tcW w:w="1531" w:type="dxa"/>
            <w:vAlign w:val="center"/>
          </w:tcPr>
          <w:p>
            <w:pPr>
              <w:widowControl/>
              <w:spacing w:line="276" w:lineRule="auto"/>
              <w:jc w:val="center"/>
              <w:rPr>
                <w:rFonts w:hint="eastAsia" w:ascii="宋体" w:hAnsi="宋体" w:eastAsia="宋体"/>
                <w:sz w:val="20"/>
                <w:szCs w:val="20"/>
              </w:rPr>
            </w:pPr>
            <w:r>
              <w:rPr>
                <w:rFonts w:hint="eastAsia" w:ascii="宋体" w:hAnsi="宋体" w:eastAsia="宋体"/>
                <w:sz w:val="20"/>
                <w:szCs w:val="20"/>
              </w:rPr>
              <w:t>实施方案（6）</w:t>
            </w:r>
          </w:p>
        </w:tc>
        <w:tc>
          <w:tcPr>
            <w:tcW w:w="567" w:type="dxa"/>
            <w:vAlign w:val="center"/>
          </w:tcPr>
          <w:p>
            <w:pPr>
              <w:rPr>
                <w:rFonts w:ascii="宋体" w:hAnsi="宋体" w:eastAsia="宋体" w:cs="Yu Mincho Light"/>
                <w:kern w:val="0"/>
                <w:sz w:val="20"/>
                <w:szCs w:val="20"/>
              </w:rPr>
            </w:pPr>
            <w:r>
              <w:rPr>
                <w:rFonts w:hint="eastAsia" w:ascii="宋体" w:hAnsi="宋体" w:eastAsia="宋体" w:cs="Yu Mincho Light"/>
                <w:kern w:val="0"/>
                <w:sz w:val="20"/>
                <w:szCs w:val="20"/>
              </w:rPr>
              <w:t>6</w:t>
            </w:r>
          </w:p>
        </w:tc>
        <w:tc>
          <w:tcPr>
            <w:tcW w:w="5812" w:type="dxa"/>
            <w:vAlign w:val="center"/>
          </w:tcPr>
          <w:p>
            <w:pPr>
              <w:rPr>
                <w:rFonts w:hint="eastAsia" w:ascii="宋体" w:hAnsi="宋体" w:eastAsia="宋体" w:cs="Yu Mincho Light"/>
                <w:color w:val="000000"/>
                <w:kern w:val="0"/>
                <w:sz w:val="20"/>
                <w:szCs w:val="20"/>
              </w:rPr>
            </w:pPr>
            <w:r>
              <w:rPr>
                <w:rFonts w:ascii="宋体" w:hAnsi="宋体" w:eastAsia="宋体" w:cs="Yu Mincho Light"/>
                <w:color w:val="000000"/>
                <w:kern w:val="0"/>
                <w:sz w:val="20"/>
                <w:szCs w:val="20"/>
              </w:rPr>
              <w:t>供应商根据项目内容及范围，针对项目</w:t>
            </w:r>
            <w:r>
              <w:rPr>
                <w:rFonts w:hint="eastAsia" w:ascii="宋体" w:hAnsi="宋体" w:eastAsia="宋体" w:cs="Yu Mincho Light"/>
                <w:color w:val="000000"/>
                <w:kern w:val="0"/>
                <w:sz w:val="20"/>
                <w:szCs w:val="20"/>
              </w:rPr>
              <w:t>目标和达到效果制定详细的措施和保障方案以及突发事件处理机制等，磋商小组进行综合评审，优秀得</w:t>
            </w:r>
            <w:r>
              <w:rPr>
                <w:rFonts w:ascii="宋体" w:hAnsi="宋体" w:eastAsia="宋体" w:cs="Yu Mincho Light"/>
                <w:color w:val="000000"/>
                <w:kern w:val="0"/>
                <w:sz w:val="20"/>
                <w:szCs w:val="20"/>
              </w:rPr>
              <w:t xml:space="preserve"> 3-6 分；；一般得 1-3 分；差或未提供不得分。</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Yu Mincho Light">
    <w:altName w:val="微软雅黑"/>
    <w:panose1 w:val="00000000000000000000"/>
    <w:charset w:val="80"/>
    <w:family w:val="roman"/>
    <w:pitch w:val="default"/>
    <w:sig w:usb0="00000000" w:usb1="00000000" w:usb2="00000012" w:usb3="00000000" w:csb0="0002009F" w:csb1="00000000"/>
  </w:font>
  <w:font w:name="Segoe UI Symbol">
    <w:panose1 w:val="020B0502040204020203"/>
    <w:charset w:val="00"/>
    <w:family w:val="swiss"/>
    <w:pitch w:val="default"/>
    <w:sig w:usb0="800001E3" w:usb1="1200FFEF" w:usb2="00040000" w:usb3="04000000"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48C49"/>
    <w:multiLevelType w:val="singleLevel"/>
    <w:tmpl w:val="20848C4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WNlNjRjYzE1NDMxNWQ2ODg2OTU1MjM0NjYzNWIifQ=="/>
  </w:docVars>
  <w:rsids>
    <w:rsidRoot w:val="00ED37B8"/>
    <w:rsid w:val="00027A40"/>
    <w:rsid w:val="000F5A9B"/>
    <w:rsid w:val="00137546"/>
    <w:rsid w:val="00235464"/>
    <w:rsid w:val="00266297"/>
    <w:rsid w:val="002A7DD2"/>
    <w:rsid w:val="004215D5"/>
    <w:rsid w:val="00457DBA"/>
    <w:rsid w:val="00547A15"/>
    <w:rsid w:val="005A6BC1"/>
    <w:rsid w:val="00664DBE"/>
    <w:rsid w:val="00683152"/>
    <w:rsid w:val="006F3472"/>
    <w:rsid w:val="007D54BA"/>
    <w:rsid w:val="00835D8A"/>
    <w:rsid w:val="008B49AC"/>
    <w:rsid w:val="008F533C"/>
    <w:rsid w:val="00984FDE"/>
    <w:rsid w:val="00CC67D1"/>
    <w:rsid w:val="00DC3B13"/>
    <w:rsid w:val="00EC16F0"/>
    <w:rsid w:val="00ED37B8"/>
    <w:rsid w:val="00EE2576"/>
    <w:rsid w:val="00EF5704"/>
    <w:rsid w:val="00FC4D78"/>
    <w:rsid w:val="14FE5309"/>
    <w:rsid w:val="3EC61FB2"/>
    <w:rsid w:val="40C305D7"/>
    <w:rsid w:val="49290A1B"/>
    <w:rsid w:val="5BFF0E10"/>
    <w:rsid w:val="61986E48"/>
    <w:rsid w:val="64CF4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3"/>
    <w:qFormat/>
    <w:uiPriority w:val="9"/>
    <w:rPr>
      <w:rFonts w:asciiTheme="majorHAnsi" w:hAnsiTheme="majorHAnsi" w:eastAsiaTheme="majorEastAsia" w:cstheme="majorBidi"/>
      <w:b/>
      <w:bCs/>
      <w:sz w:val="32"/>
      <w:szCs w:val="32"/>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3348</Words>
  <Characters>3564</Characters>
  <Lines>24</Lines>
  <Paragraphs>6</Paragraphs>
  <TotalTime>3</TotalTime>
  <ScaleCrop>false</ScaleCrop>
  <LinksUpToDate>false</LinksUpToDate>
  <CharactersWithSpaces>3581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2022-11-13T15:38:00Z</dcterms:created>
  <dc:creator>彭 盛刚</dc:creator>
  <cp:lastModifiedBy>微笑前行</cp:lastModifiedBy>
  <dcterms:modified xsi:type="dcterms:W3CDTF">2022-11-25T02:13:45Z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AB389641856B4DDB9F0297B33BC657C7</vt:lpwstr>
  </property>
</Properties>
</file>